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AD281" w14:textId="7893DF78" w:rsidR="00C42E0B" w:rsidRPr="00AB65A4" w:rsidRDefault="00C42E0B" w:rsidP="000D6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B65A4">
        <w:rPr>
          <w:rFonts w:ascii="Times New Roman" w:hAnsi="Times New Roman" w:cs="Times New Roman"/>
          <w:bCs/>
        </w:rPr>
        <w:t>Załącznik</w:t>
      </w:r>
      <w:r w:rsidR="00A862A6" w:rsidRPr="00AB65A4">
        <w:rPr>
          <w:rFonts w:ascii="Times New Roman" w:hAnsi="Times New Roman" w:cs="Times New Roman"/>
          <w:bCs/>
        </w:rPr>
        <w:t xml:space="preserve"> </w:t>
      </w:r>
      <w:r w:rsidRPr="00AB65A4">
        <w:rPr>
          <w:rFonts w:ascii="Times New Roman" w:hAnsi="Times New Roman" w:cs="Times New Roman"/>
          <w:bCs/>
        </w:rPr>
        <w:t>B.56.</w:t>
      </w:r>
    </w:p>
    <w:p w14:paraId="53BA7DB9" w14:textId="77777777" w:rsidR="00C42E0B" w:rsidRPr="00AB65A4" w:rsidRDefault="00C42E0B" w:rsidP="000D6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14:paraId="3475FA66" w14:textId="784F14B0" w:rsidR="00491560" w:rsidRPr="00AB65A4" w:rsidRDefault="00491560" w:rsidP="004C6726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bookmarkStart w:id="0" w:name="_Hlk110000437"/>
      <w:r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LECZENIE</w:t>
      </w:r>
      <w:r w:rsidR="00A862A6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B92CB9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CHORYCH</w:t>
      </w:r>
      <w:r w:rsidR="00A862A6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B92CB9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NA</w:t>
      </w:r>
      <w:r w:rsidR="00A862A6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RAKA</w:t>
      </w:r>
      <w:r w:rsidR="00A862A6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GRUCZOŁU</w:t>
      </w:r>
      <w:r w:rsidR="00A862A6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KROKOWEGO</w:t>
      </w:r>
      <w:r w:rsidR="00A862A6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(ICD-10</w:t>
      </w:r>
      <w:r w:rsidR="00772B8E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:</w:t>
      </w:r>
      <w:r w:rsidR="00A862A6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C61)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798"/>
        <w:gridCol w:w="4364"/>
        <w:gridCol w:w="4226"/>
      </w:tblGrid>
      <w:tr w:rsidR="00491560" w:rsidRPr="006731AC" w14:paraId="707334B3" w14:textId="77777777" w:rsidTr="000D6E31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2D13ECE1" w14:textId="44F56503" w:rsidR="00491560" w:rsidRPr="006731AC" w:rsidRDefault="00491560" w:rsidP="000D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ZAKRES</w:t>
            </w:r>
            <w:r w:rsidR="00A862A6"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ŚWIADCZENIA</w:t>
            </w:r>
            <w:r w:rsidR="00A862A6"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GWARANTOWANEGO</w:t>
            </w:r>
          </w:p>
        </w:tc>
      </w:tr>
      <w:tr w:rsidR="00A862A6" w:rsidRPr="006731AC" w14:paraId="15A5697E" w14:textId="77777777" w:rsidTr="00814B09">
        <w:trPr>
          <w:trHeight w:val="567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A361" w14:textId="77777777" w:rsidR="00491560" w:rsidRPr="006731AC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ŚWIADCZENIOBIORCY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1BEA" w14:textId="0E8C5EFE" w:rsidR="00491560" w:rsidRPr="006731AC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SCHEMAT</w:t>
            </w:r>
            <w:r w:rsidR="00A862A6"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A6D83"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DAWKOWANIA LEKU </w:t>
            </w:r>
            <w:r w:rsidR="00303C40"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="000A6D83"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 PROGRAMIE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B5CD" w14:textId="0B07CF66" w:rsidR="00491560" w:rsidRPr="006731AC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BADANIA</w:t>
            </w:r>
            <w:r w:rsidR="00A862A6"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DIAGNOSTYCZNE</w:t>
            </w:r>
            <w:r w:rsidR="00A862A6"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WYKONYWANE</w:t>
            </w:r>
            <w:r w:rsidR="00A862A6"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</w:t>
            </w:r>
            <w:r w:rsidR="00A862A6"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RAMACH</w:t>
            </w:r>
            <w:r w:rsidR="00A862A6"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731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A862A6" w:rsidRPr="00DE1BAD" w14:paraId="46A2534B" w14:textId="77777777" w:rsidTr="00814B09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5BCF8" w14:textId="5D326BBB" w:rsidR="00B95657" w:rsidRPr="006731AC" w:rsidRDefault="00B95657" w:rsidP="00303C40">
            <w:pPr>
              <w:pStyle w:val="Tekstkomentarza"/>
              <w:spacing w:before="120" w:after="60" w:line="276" w:lineRule="auto"/>
              <w:jc w:val="both"/>
              <w:rPr>
                <w:rFonts w:ascii="Times New Roman" w:hAnsi="Times New Roman" w:cs="Times New Roman"/>
              </w:rPr>
            </w:pPr>
            <w:bookmarkStart w:id="1" w:name="_Hlk126516355"/>
            <w:r w:rsidRPr="006731AC">
              <w:rPr>
                <w:rFonts w:ascii="Times New Roman" w:hAnsi="Times New Roman" w:cs="Times New Roman"/>
              </w:rPr>
              <w:t>W programie finansuje się tylko jedną linię hormonoterapii lekiem nowej generacji,</w:t>
            </w:r>
            <w:r w:rsidR="00B63D2C" w:rsidRPr="006731AC">
              <w:rPr>
                <w:rFonts w:ascii="Times New Roman" w:hAnsi="Times New Roman" w:cs="Times New Roman"/>
              </w:rPr>
              <w:t xml:space="preserve"> </w:t>
            </w:r>
            <w:r w:rsidRPr="006731AC">
              <w:rPr>
                <w:rFonts w:ascii="Times New Roman" w:hAnsi="Times New Roman" w:cs="Times New Roman"/>
              </w:rPr>
              <w:t>jedną linię chemioterapii</w:t>
            </w:r>
            <w:r w:rsidR="00227946" w:rsidRPr="006731AC">
              <w:rPr>
                <w:rFonts w:ascii="Times New Roman" w:hAnsi="Times New Roman" w:cs="Times New Roman"/>
              </w:rPr>
              <w:t>, jedną linię terapii inhibitorem PARP</w:t>
            </w:r>
            <w:r w:rsidRPr="006731AC">
              <w:rPr>
                <w:rFonts w:ascii="Times New Roman" w:hAnsi="Times New Roman" w:cs="Times New Roman"/>
              </w:rPr>
              <w:t xml:space="preserve"> z wykorzystaniem substancji</w:t>
            </w:r>
            <w:r w:rsidR="004D441C" w:rsidRPr="006731AC">
              <w:rPr>
                <w:rFonts w:ascii="Times New Roman" w:hAnsi="Times New Roman" w:cs="Times New Roman"/>
              </w:rPr>
              <w:t>:</w:t>
            </w:r>
          </w:p>
          <w:bookmarkEnd w:id="1"/>
          <w:p w14:paraId="55A131A3" w14:textId="7034C539" w:rsidR="007D0522" w:rsidRPr="006731AC" w:rsidRDefault="007D0522" w:rsidP="00303C40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apalutamid</w:t>
            </w:r>
            <w:proofErr w:type="spellEnd"/>
            <w:r w:rsidR="0056071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FF3E020" w14:textId="337F0223" w:rsidR="007D0522" w:rsidRPr="006731AC" w:rsidRDefault="007D0522" w:rsidP="00303C40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</w:t>
            </w:r>
            <w:proofErr w:type="spellEnd"/>
            <w:r w:rsidR="0056071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7C269D1" w14:textId="14FA653E" w:rsidR="007D0522" w:rsidRPr="006731AC" w:rsidRDefault="007D0522" w:rsidP="00303C40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</w:t>
            </w:r>
            <w:proofErr w:type="spellEnd"/>
            <w:r w:rsidR="0056071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1812ABA2" w14:textId="7E4FCD2C" w:rsidR="00E36E5E" w:rsidRPr="006731AC" w:rsidRDefault="00E36E5E" w:rsidP="00303C40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kabazytaksel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B4544D9" w14:textId="725BCB82" w:rsidR="00D0654C" w:rsidRPr="006731AC" w:rsidRDefault="004943AE" w:rsidP="00303C40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</w:t>
            </w:r>
            <w:proofErr w:type="spellEnd"/>
            <w:r w:rsidR="0080258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512A0397" w14:textId="726442ED" w:rsidR="001B0E04" w:rsidRPr="006731AC" w:rsidRDefault="001B0E04" w:rsidP="00303C4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="00EF44C2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wrażliwego na kastrację</w:t>
            </w:r>
            <w:r w:rsidR="00EF44C2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raka gruczołu krokowego</w:t>
            </w:r>
            <w:r w:rsidR="00B63D2C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proofErr w:type="spellStart"/>
            <w:r w:rsidR="00017DA7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mHSPC</w:t>
            </w:r>
            <w:proofErr w:type="spellEnd"/>
            <w:r w:rsidR="00017DA7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) 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stosowany jest</w:t>
            </w:r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apalutamid</w:t>
            </w:r>
            <w:proofErr w:type="spellEnd"/>
            <w:r w:rsidR="00A94966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  <w:p w14:paraId="53D8A088" w14:textId="7B3BB165" w:rsidR="001B0E04" w:rsidRPr="006731AC" w:rsidRDefault="001B0E04" w:rsidP="00303C4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 na kastrację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raka gruczołu krokowego</w:t>
            </w:r>
            <w:r w:rsidR="00B63D2C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bez przerzutów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proofErr w:type="spellStart"/>
            <w:r w:rsidR="00017DA7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nmCRPC</w:t>
            </w:r>
            <w:proofErr w:type="spellEnd"/>
            <w:r w:rsidR="00017DA7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) 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stosowany jest </w:t>
            </w:r>
            <w:proofErr w:type="spellStart"/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apalutamid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darolutamid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</w:t>
            </w:r>
            <w:proofErr w:type="spellEnd"/>
            <w:r w:rsidR="00017DA7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1DE1276A" w14:textId="027203B7" w:rsidR="008626CB" w:rsidRPr="006731AC" w:rsidRDefault="001B0E04" w:rsidP="00303C4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opornego na kastrację 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raka gruczołu krokowego</w:t>
            </w:r>
            <w:r w:rsidR="00B63D2C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proofErr w:type="spellStart"/>
            <w:r w:rsidR="00017DA7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mCRPC</w:t>
            </w:r>
            <w:proofErr w:type="spellEnd"/>
            <w:r w:rsidR="00017DA7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303C40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stosowany jest </w:t>
            </w:r>
            <w:proofErr w:type="spellStart"/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</w:t>
            </w:r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36E5E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kabazytaksel</w:t>
            </w:r>
            <w:proofErr w:type="spellEnd"/>
            <w:r w:rsidR="00E36E5E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E36E5E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albo</w:t>
            </w:r>
            <w:r w:rsidR="00E36E5E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olaparyb</w:t>
            </w:r>
            <w:proofErr w:type="spellEnd"/>
            <w:r w:rsidR="007243BA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  <w:p w14:paraId="1DF917D4" w14:textId="425C3772" w:rsidR="00E27E63" w:rsidRPr="006731AC" w:rsidRDefault="00E27E63" w:rsidP="00303C4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66C7F26B" w14:textId="7799169F" w:rsidR="00E27E63" w:rsidRPr="006731AC" w:rsidRDefault="00E27E63" w:rsidP="00303C4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programie istnieje jednorazowa możliwość leczenia niesteroidowymi antyandrogenami.</w:t>
            </w:r>
          </w:p>
          <w:p w14:paraId="13642951" w14:textId="77777777" w:rsidR="001869D7" w:rsidRPr="006731AC" w:rsidRDefault="001869D7" w:rsidP="00303C4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3A242DE0" w14:textId="63C30237" w:rsidR="008D37B1" w:rsidRPr="006731AC" w:rsidRDefault="008D37B1" w:rsidP="00303C40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Kryteria </w:t>
            </w:r>
            <w:r w:rsidR="005A6322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</w:t>
            </w:r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walifikacji </w:t>
            </w:r>
          </w:p>
          <w:p w14:paraId="6E1FDEAA" w14:textId="36E4BE70" w:rsidR="00886B5E" w:rsidRPr="004C6726" w:rsidRDefault="00032E20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6726">
              <w:rPr>
                <w:rFonts w:ascii="Times New Roman" w:hAnsi="Times New Roman" w:cs="Times New Roman"/>
                <w:sz w:val="20"/>
                <w:szCs w:val="20"/>
              </w:rPr>
              <w:t>Muszą zostać spełnione łącznie kryteria ogólne (1.1.) oraz kryteria szczegółowe (1.2.) dla poszczególnych substancji czynnych.</w:t>
            </w:r>
          </w:p>
          <w:p w14:paraId="3C4C5837" w14:textId="77777777" w:rsidR="00032E20" w:rsidRPr="004C6726" w:rsidRDefault="00032E20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47E03" w14:textId="3C251E24" w:rsidR="00886B5E" w:rsidRPr="004C6726" w:rsidRDefault="00327C66" w:rsidP="00303C40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7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Ogólne kryteria kwalifikacji</w:t>
            </w:r>
          </w:p>
          <w:p w14:paraId="393450CA" w14:textId="2C91A4C8" w:rsidR="00A11E82" w:rsidRPr="004C6726" w:rsidRDefault="00476EE8" w:rsidP="00303C40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4C672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histologiczne rozpoznanie raka gruczołowego stercza</w:t>
            </w:r>
            <w:r w:rsidR="00A11E82" w:rsidRPr="004C672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270C361E" w14:textId="4A1703B9" w:rsidR="00A11E82" w:rsidRPr="004C6726" w:rsidRDefault="00A11E82" w:rsidP="00303C40">
            <w:pPr>
              <w:pStyle w:val="Akapitzlist"/>
              <w:widowControl w:val="0"/>
              <w:numPr>
                <w:ilvl w:val="3"/>
                <w:numId w:val="2"/>
              </w:numPr>
              <w:tabs>
                <w:tab w:val="left" w:pos="903"/>
              </w:tabs>
              <w:spacing w:after="60" w:line="276" w:lineRule="auto"/>
              <w:ind w:right="28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672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wiek </w:t>
            </w:r>
            <w:r w:rsidR="008A7157" w:rsidRPr="004C672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≥ </w:t>
            </w:r>
            <w:r w:rsidRPr="004C672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18 </w:t>
            </w:r>
            <w:r w:rsidR="008A7157" w:rsidRPr="004C672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lat</w:t>
            </w:r>
            <w:r w:rsidRPr="004C672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6EEE8F5A" w14:textId="1CA65E2B" w:rsidR="00C65579" w:rsidRPr="004C6726" w:rsidRDefault="00A11E82" w:rsidP="00303C40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726">
              <w:rPr>
                <w:rFonts w:ascii="Times New Roman" w:hAnsi="Times New Roman" w:cs="Times New Roman"/>
                <w:sz w:val="20"/>
                <w:szCs w:val="20"/>
              </w:rPr>
              <w:t>stan sprawności</w:t>
            </w:r>
            <w:r w:rsidR="002F04FC" w:rsidRPr="004C672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2B82F7" w14:textId="2166EC50" w:rsidR="00911820" w:rsidRPr="004C6726" w:rsidRDefault="00911820" w:rsidP="00303C40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6726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4C67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26843"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według ECOG w przypadku leczenia </w:t>
            </w:r>
            <w:proofErr w:type="spellStart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>apalutamidem</w:t>
            </w:r>
            <w:proofErr w:type="spellEnd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2140" w:rsidRPr="004C672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>nmCRPC</w:t>
            </w:r>
            <w:proofErr w:type="spellEnd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>nmCRPC</w:t>
            </w:r>
            <w:proofErr w:type="spellEnd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 przed podaniem </w:t>
            </w:r>
            <w:proofErr w:type="spellStart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E31FA33" w14:textId="77777777" w:rsidR="00911820" w:rsidRPr="004C6726" w:rsidRDefault="00726843" w:rsidP="00303C4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</w:p>
          <w:p w14:paraId="7D85A6A2" w14:textId="6B052C77" w:rsidR="00194617" w:rsidRPr="004C6726" w:rsidRDefault="00726843" w:rsidP="00303C40">
            <w:pPr>
              <w:pStyle w:val="Akapitzlist"/>
              <w:widowControl w:val="0"/>
              <w:numPr>
                <w:ilvl w:val="4"/>
                <w:numId w:val="2"/>
              </w:numPr>
              <w:tabs>
                <w:tab w:val="left" w:pos="761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6726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Pr="004C67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11820"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według ECOG </w:t>
            </w:r>
            <w:r w:rsidRPr="004C6726">
              <w:rPr>
                <w:rFonts w:ascii="Times New Roman" w:hAnsi="Times New Roman" w:cs="Times New Roman"/>
                <w:sz w:val="20"/>
                <w:szCs w:val="20"/>
              </w:rPr>
              <w:t>w przypadku leczenia</w:t>
            </w:r>
            <w:r w:rsidR="00FC2140"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C2140" w:rsidRPr="004C6726">
              <w:rPr>
                <w:rFonts w:ascii="Times New Roman" w:hAnsi="Times New Roman" w:cs="Times New Roman"/>
                <w:sz w:val="20"/>
                <w:szCs w:val="20"/>
              </w:rPr>
              <w:t>apalutamidem</w:t>
            </w:r>
            <w:proofErr w:type="spellEnd"/>
            <w:r w:rsidR="00FC2140"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FC2140" w:rsidRPr="004C6726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FC2140"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 po podaniu </w:t>
            </w:r>
            <w:proofErr w:type="spellStart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>kabazytakselem</w:t>
            </w:r>
            <w:proofErr w:type="spellEnd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194617" w:rsidRPr="004C672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17C391" w14:textId="582AD04B" w:rsidR="00A11E82" w:rsidRPr="004C6726" w:rsidRDefault="00A11E82" w:rsidP="00303C40">
            <w:pPr>
              <w:pStyle w:val="Akapitzlist"/>
              <w:widowControl w:val="0"/>
              <w:numPr>
                <w:ilvl w:val="3"/>
                <w:numId w:val="2"/>
              </w:numPr>
              <w:tabs>
                <w:tab w:val="left" w:pos="761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67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adekwatna wydolność narządowa określona na podstawie wyników badań laboratoryjnych krwi zgodnie z zapisami </w:t>
            </w:r>
            <w:r w:rsidR="00177493" w:rsidRPr="004C67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aktualnej </w:t>
            </w:r>
            <w:r w:rsidRPr="004C6726">
              <w:rPr>
                <w:rFonts w:ascii="Times New Roman" w:eastAsia="Calibri" w:hAnsi="Times New Roman" w:cs="Times New Roman"/>
                <w:sz w:val="20"/>
                <w:szCs w:val="20"/>
              </w:rPr>
              <w:t>Charakterystyki Produktu Leczniczego (</w:t>
            </w:r>
            <w:proofErr w:type="spellStart"/>
            <w:r w:rsidRPr="004C6726">
              <w:rPr>
                <w:rFonts w:ascii="Times New Roman" w:eastAsia="Calibri" w:hAnsi="Times New Roman" w:cs="Times New Roman"/>
                <w:sz w:val="20"/>
                <w:szCs w:val="20"/>
              </w:rPr>
              <w:t>ChPL</w:t>
            </w:r>
            <w:proofErr w:type="spellEnd"/>
            <w:r w:rsidRPr="004C6726">
              <w:rPr>
                <w:rFonts w:ascii="Times New Roman" w:eastAsia="Calibri" w:hAnsi="Times New Roman" w:cs="Times New Roman"/>
                <w:sz w:val="20"/>
                <w:szCs w:val="20"/>
              </w:rPr>
              <w:t>);</w:t>
            </w:r>
          </w:p>
          <w:p w14:paraId="65B6825E" w14:textId="118DA6E8" w:rsidR="00A11E82" w:rsidRPr="004C6726" w:rsidRDefault="00A11E82" w:rsidP="00303C40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</w:t>
            </w:r>
            <w:r w:rsidR="00A6366E" w:rsidRPr="004C6726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 zgodnie z</w:t>
            </w:r>
            <w:r w:rsidR="00A6366E"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 zapisami</w:t>
            </w:r>
            <w:r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7493" w:rsidRPr="004C6726">
              <w:rPr>
                <w:rFonts w:ascii="Times New Roman" w:hAnsi="Times New Roman" w:cs="Times New Roman"/>
                <w:sz w:val="20"/>
                <w:szCs w:val="20"/>
              </w:rPr>
              <w:t xml:space="preserve">aktualnej </w:t>
            </w:r>
            <w:proofErr w:type="spellStart"/>
            <w:r w:rsidRPr="004C6726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4C672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5E8853" w14:textId="77777777" w:rsidR="00177493" w:rsidRPr="004C6726" w:rsidRDefault="000A507C" w:rsidP="00303C40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4C6726">
              <w:rPr>
                <w:rFonts w:ascii="Times New Roman" w:hAnsi="Times New Roman" w:cs="Times New Roman"/>
                <w:sz w:val="20"/>
                <w:szCs w:val="20"/>
              </w:rPr>
              <w:t>nieobecność schorzeń lub stanów stanowiących przeciwskazanie do zastosowania terapii</w:t>
            </w:r>
            <w:r w:rsidR="00FE49B5" w:rsidRPr="004C672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BB3654" w14:textId="5A1C2905" w:rsidR="00DB4537" w:rsidRPr="004C6726" w:rsidRDefault="00FE49B5" w:rsidP="00303C40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4C6726">
              <w:rPr>
                <w:rFonts w:ascii="Times New Roman" w:hAnsi="Times New Roman" w:cs="Times New Roman"/>
                <w:sz w:val="20"/>
                <w:szCs w:val="20"/>
              </w:rPr>
              <w:t>nieobecność innych nowotworów niekontrolowanych leczeniem;</w:t>
            </w:r>
          </w:p>
          <w:p w14:paraId="21301411" w14:textId="2B92288E" w:rsidR="000B4003" w:rsidRPr="004C6726" w:rsidRDefault="00FE49B5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4C672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brak </w:t>
            </w:r>
            <w:r w:rsidR="00C6578F" w:rsidRPr="004C672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rozpoznani</w:t>
            </w:r>
            <w:r w:rsidR="00177493" w:rsidRPr="004C672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</w:t>
            </w:r>
            <w:r w:rsidR="00C6578F" w:rsidRPr="004C672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raka stercza z różnicowaniem neuroendokrynnym lub raka</w:t>
            </w:r>
            <w:r w:rsidR="000B4003" w:rsidRPr="004C672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C6578F" w:rsidRPr="004C672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drobnokomórkowego lub raka przewodowego</w:t>
            </w:r>
            <w:r w:rsidR="00E46071" w:rsidRPr="004C672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.</w:t>
            </w:r>
          </w:p>
          <w:p w14:paraId="44A960A2" w14:textId="77777777" w:rsidR="008626CB" w:rsidRPr="006731AC" w:rsidRDefault="008626CB" w:rsidP="00303C40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</w:p>
          <w:p w14:paraId="03987CBA" w14:textId="7C47944C" w:rsidR="00DB4537" w:rsidRPr="006731AC" w:rsidRDefault="004D441C" w:rsidP="00303C40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="00DB4537" w:rsidRPr="0067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zczegółowe kryteria kwalifikacji</w:t>
            </w:r>
          </w:p>
          <w:p w14:paraId="57874156" w14:textId="1BBAA1CD" w:rsidR="008D37B1" w:rsidRPr="006731AC" w:rsidRDefault="00BE3676" w:rsidP="00303C40">
            <w:pPr>
              <w:pStyle w:val="Akapitzlist"/>
              <w:widowControl w:val="0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Chorych</w:t>
            </w:r>
            <w:r w:rsidR="00F149E9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na</w:t>
            </w:r>
            <w:r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D761A4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wrażliwego na kastrację raka gruczołu krokowego </w:t>
            </w:r>
            <w:r w:rsidR="006F700C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o małym obciążeniu przerzutami (z ang. </w:t>
            </w:r>
            <w:proofErr w:type="spellStart"/>
            <w:r w:rsidR="006F700C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low</w:t>
            </w:r>
            <w:proofErr w:type="spellEnd"/>
            <w:r w:rsidR="006F700C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proofErr w:type="spellStart"/>
            <w:r w:rsidR="006F700C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volume</w:t>
            </w:r>
            <w:proofErr w:type="spellEnd"/>
            <w:r w:rsidR="006F700C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proofErr w:type="spellStart"/>
            <w:r w:rsidR="006F700C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disease</w:t>
            </w:r>
            <w:proofErr w:type="spellEnd"/>
            <w:r w:rsidR="006F700C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)</w:t>
            </w:r>
            <w:r w:rsidR="00F149E9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proofErr w:type="spellStart"/>
            <w:r w:rsidR="008D37B1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apalutamidem</w:t>
            </w:r>
            <w:proofErr w:type="spellEnd"/>
            <w:r w:rsidR="008D37B1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</w:p>
          <w:p w14:paraId="2B3DAEF3" w14:textId="477BA272" w:rsidR="00AF2629" w:rsidRPr="006731AC" w:rsidRDefault="00BB4173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stadium wrażliwości na </w:t>
            </w:r>
            <w:r w:rsidR="00B86DD6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kastrację</w:t>
            </w:r>
            <w:r w:rsidR="004178CD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1AAC74FF" w14:textId="245AC566" w:rsidR="0051281D" w:rsidRPr="006731AC" w:rsidRDefault="00853556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udokumentowane</w:t>
            </w:r>
            <w:r w:rsidR="00784709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przeciwskazania</w:t>
            </w:r>
            <w:r w:rsidR="00FB24A1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do </w:t>
            </w:r>
            <w:r w:rsidR="00636347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zastosowania</w:t>
            </w:r>
            <w:r w:rsidR="00FB24A1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FB24A1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docetakselu</w:t>
            </w:r>
            <w:proofErr w:type="spellEnd"/>
            <w:r w:rsidR="00FB24A1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CF0686A" w14:textId="4E12410C" w:rsidR="00CE3BC0" w:rsidRPr="006731AC" w:rsidRDefault="00D631E4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brak cech radiologicznej lub biochemicznej progresji</w:t>
            </w:r>
            <w:r w:rsidR="00FE49B5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u chorych leczonych deprywacją androgenów przed włączeniem do programu</w:t>
            </w: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324A87" w14:textId="337F0AE6" w:rsidR="00CE3BC0" w:rsidRPr="006731AC" w:rsidRDefault="00CE3BC0" w:rsidP="004A1B03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występowanie </w:t>
            </w:r>
            <w:r w:rsidR="004A1B03" w:rsidRPr="006731AC"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w:t xml:space="preserve">≥ </w:t>
            </w:r>
            <w:r w:rsidR="004A1B0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1F51D5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przerzutu do kości</w:t>
            </w:r>
            <w:r w:rsidR="004A1B0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(jeśli </w:t>
            </w:r>
            <w:r w:rsidR="001F51D5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jest ich </w:t>
            </w:r>
            <w:r w:rsidR="004A1B03" w:rsidRPr="006731AC"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w:t xml:space="preserve">≥ 4 to zmiany </w:t>
            </w:r>
            <w:r w:rsidR="001F51D5" w:rsidRPr="006731AC"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w:t xml:space="preserve">muszą być ograniczone do </w:t>
            </w:r>
            <w:r w:rsidR="004A1B03" w:rsidRPr="006731AC"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w:t>kręgosłup</w:t>
            </w:r>
            <w:r w:rsidR="001F51D5" w:rsidRPr="006731AC"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w:t xml:space="preserve">a i </w:t>
            </w:r>
            <w:r w:rsidR="004A1B03" w:rsidRPr="006731AC"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w:t>miednic</w:t>
            </w:r>
            <w:r w:rsidR="001F51D5" w:rsidRPr="006731AC"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w:t>y</w:t>
            </w:r>
            <w:r w:rsidR="004A1B03" w:rsidRPr="006731AC"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w:t>)</w:t>
            </w:r>
            <w:r w:rsidR="004A1B0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badaniu scyntygraficznym</w:t>
            </w:r>
            <w:r w:rsidR="0057699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4F633C69" w14:textId="5272D117" w:rsidR="0051281D" w:rsidRPr="006731AC" w:rsidRDefault="0051281D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nieobecność przerzutów w narządach miąższowych (dopuszczalne przerzuty w węzłach chłonnych);</w:t>
            </w:r>
          </w:p>
          <w:p w14:paraId="33871BC1" w14:textId="4577F321" w:rsidR="00BE4901" w:rsidRPr="006731AC" w:rsidRDefault="00BE4901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</w:t>
            </w:r>
            <w:r w:rsidR="00412682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opuszczalne jest wcześniejsze leczenie o założeniu radykalnym, w tym stosowanie hormonoterapii uzupełniającej przez maksymalnie 3 lata, o ile została zakończona co najmniej rok wcześniej</w:t>
            </w:r>
            <w:r w:rsidR="00FB24A1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295E607" w14:textId="62EB9549" w:rsidR="002908D9" w:rsidRPr="006731AC" w:rsidRDefault="002908D9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dopuszczalne jest </w:t>
            </w:r>
            <w:r w:rsidR="00F12820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wcześniejsze 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leczenie deprywacją androgenów (kastracja farmakologiczna lub chirurgiczna), ale nie dłużej niż 6 miesięcy na etapie choroby przerzutowej;</w:t>
            </w:r>
          </w:p>
          <w:p w14:paraId="28AE599E" w14:textId="4F6B692D" w:rsidR="00CE3BC0" w:rsidRPr="006731AC" w:rsidRDefault="0051281D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niestosowanie wcześniejszego leczenia octanem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1EC7F01" w14:textId="77777777" w:rsidR="00CE3BC0" w:rsidRPr="006731AC" w:rsidRDefault="00FE49B5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niestosowanie</w:t>
            </w:r>
            <w:r w:rsidR="00D631E4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leków </w:t>
            </w:r>
            <w:proofErr w:type="spellStart"/>
            <w:r w:rsidR="00D631E4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antyresorpcyjnych</w:t>
            </w:r>
            <w:proofErr w:type="spellEnd"/>
            <w:r w:rsidR="00D631E4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wpływających na metabolizm kostny</w:t>
            </w:r>
            <w:r w:rsidR="00E13D16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D631E4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(nie dotyczy leków stosowanych w leczeniu osteoporozy)</w:t>
            </w:r>
            <w:r w:rsidR="001A2596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17BD496D" w14:textId="42B90FAC" w:rsidR="000B4003" w:rsidRPr="006731AC" w:rsidRDefault="00FB34E3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brak napadów padaczkowych w wywiadzie lub innych czynników predysponujących do ich wystąpienia</w:t>
            </w:r>
            <w:r w:rsidR="00E46071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1B9511E1" w14:textId="77777777" w:rsidR="00E46071" w:rsidRPr="006731AC" w:rsidRDefault="00E46071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58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3EF46B17" w14:textId="28F28C68" w:rsidR="007A055A" w:rsidRPr="006731AC" w:rsidRDefault="00BE3676" w:rsidP="00303C40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Chorych</w:t>
            </w:r>
            <w:r w:rsidR="00F149E9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na </w:t>
            </w:r>
            <w:r w:rsidR="00D761A4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opornego na kastrację raka gruczołu krokowego bez przerzutów</w:t>
            </w:r>
            <w:r w:rsidR="007A055A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proofErr w:type="spellStart"/>
            <w:r w:rsidR="007A055A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apalutamidem</w:t>
            </w:r>
            <w:proofErr w:type="spellEnd"/>
            <w:r w:rsidR="007A055A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albo </w:t>
            </w:r>
            <w:proofErr w:type="spellStart"/>
            <w:r w:rsidR="007A055A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darolutamidem</w:t>
            </w:r>
            <w:proofErr w:type="spellEnd"/>
            <w:r w:rsidR="007A055A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albo </w:t>
            </w:r>
            <w:proofErr w:type="spellStart"/>
            <w:r w:rsidR="007A055A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enzalutamidem</w:t>
            </w:r>
            <w:proofErr w:type="spellEnd"/>
          </w:p>
          <w:p w14:paraId="04DDD440" w14:textId="77777777" w:rsidR="007F36A1" w:rsidRPr="006731AC" w:rsidRDefault="007A055A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/l lub mniej), u chorych z progresją choroby ocenioną wg kryterium w pkt </w:t>
            </w:r>
            <w:r w:rsidR="002626B6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3D3756F" w14:textId="5D9B2BAB" w:rsidR="007F36A1" w:rsidRPr="006731AC" w:rsidRDefault="007F36A1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PSA, oznaczonego w co najmniej tygodniowych odstępach, z dwoma wzrostami o co najmniej 50% wobec wartości wyjściowej (nadir) i stężenie PSA &gt;2 </w:t>
            </w:r>
            <w:proofErr w:type="spellStart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/ml;</w:t>
            </w:r>
          </w:p>
          <w:p w14:paraId="0ACEFDC2" w14:textId="0515E88F" w:rsidR="002626B6" w:rsidRPr="006731AC" w:rsidRDefault="007A055A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brak przerzutów odległych (cecha M0, dopuszczalne są jedynie przerzuty w węzłach chłonnych poniżej rozwidlenia aorty o ile w krótkim wymiarze mają mniej niż 2 cm – cecha N1)</w:t>
            </w:r>
            <w:r w:rsidR="00C831A3"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na podstawie scyntygrafii kości</w:t>
            </w:r>
            <w:r w:rsidR="00AF079D"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oraz</w:t>
            </w:r>
            <w:r w:rsidR="00C831A3"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tomografii komputerowej lub rezonansu magnetycznego</w:t>
            </w:r>
            <w:r w:rsidR="004A1B03"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lub</w:t>
            </w:r>
            <w:r w:rsidR="00AF079D"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C90AA6"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rentgenografii</w:t>
            </w:r>
            <w:r w:rsidR="00AF079D"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klatki </w:t>
            </w:r>
            <w:r w:rsidR="00AF079D"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lastRenderedPageBreak/>
              <w:t>piersiowej</w:t>
            </w:r>
            <w:r w:rsidR="004178CD"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390DD727" w14:textId="43139324" w:rsidR="007A055A" w:rsidRPr="006731AC" w:rsidRDefault="007A055A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wysokie ryzyko rozwoju przerzutów,</w:t>
            </w:r>
            <w:r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zdefiniowane jako</w:t>
            </w: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czas podwojenia stężenia PSA (PSA </w:t>
            </w:r>
            <w:proofErr w:type="spellStart"/>
            <w:r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doubling</w:t>
            </w:r>
            <w:proofErr w:type="spellEnd"/>
            <w:r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proofErr w:type="spellStart"/>
            <w:r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time</w:t>
            </w:r>
            <w:proofErr w:type="spellEnd"/>
            <w:r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– PSA DT) ≤ 10 miesięcy</w:t>
            </w:r>
            <w:r w:rsidR="004178CD"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  <w:r w:rsidRPr="006731A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</w:p>
          <w:p w14:paraId="61009F06" w14:textId="62905E17" w:rsidR="004506CC" w:rsidRPr="006731AC" w:rsidRDefault="004506CC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niestosowanie wcześniejszego leczenia octanem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21C4D50A" w14:textId="010FCFEC" w:rsidR="00740F85" w:rsidRPr="006731AC" w:rsidRDefault="002626B6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brak napadów padaczkowych w wywiadzie lub innych czynników predysponujących do ich wystąpienia (w przypadku leczenia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apalutamidem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enzalutamidem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E46071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56A8361F" w14:textId="77777777" w:rsidR="00E46071" w:rsidRPr="006731AC" w:rsidRDefault="00E46071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659B6701" w14:textId="69FC452F" w:rsidR="007A055A" w:rsidRPr="006731AC" w:rsidRDefault="00BE3676" w:rsidP="00303C40">
            <w:pPr>
              <w:pStyle w:val="Akapitzlist"/>
              <w:numPr>
                <w:ilvl w:val="2"/>
                <w:numId w:val="2"/>
              </w:numPr>
              <w:tabs>
                <w:tab w:val="left" w:pos="478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Chorych</w:t>
            </w:r>
            <w:r w:rsidR="00F149E9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na</w:t>
            </w:r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D761A4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 na kastrację raka gruczołu krokowego z przerzutami</w:t>
            </w:r>
            <w:r w:rsidR="00E46DE2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F149E9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enzalutamidem</w:t>
            </w:r>
            <w:proofErr w:type="spellEnd"/>
            <w:r w:rsidR="00F149E9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E46DE2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przed zastosowaniem </w:t>
            </w:r>
            <w:proofErr w:type="spellStart"/>
            <w:r w:rsidR="00663736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docetakselu</w:t>
            </w:r>
            <w:proofErr w:type="spellEnd"/>
            <w:r w:rsidR="00E74034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F149E9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(</w:t>
            </w:r>
            <w:r w:rsidR="002908D9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gdy zastosowanie chemioterapii nie jest wskazane klinicznie</w:t>
            </w:r>
            <w:r w:rsidR="00F149E9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)</w:t>
            </w:r>
            <w:r w:rsidR="002908D9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E46DE2" w:rsidRPr="0067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lub po zastosowaniu </w:t>
            </w:r>
            <w:proofErr w:type="spellStart"/>
            <w:r w:rsidR="00E46DE2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docetakselu</w:t>
            </w:r>
            <w:proofErr w:type="spellEnd"/>
            <w:r w:rsidR="00E46DE2"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</w:p>
          <w:p w14:paraId="4B974496" w14:textId="5B64B54D" w:rsidR="00E46DE2" w:rsidRPr="006731AC" w:rsidRDefault="00E46DE2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/l lub mniej), u chorych z progresją choroby ocenioną wg kryterium w pkt 2;</w:t>
            </w:r>
          </w:p>
          <w:p w14:paraId="02BD75A5" w14:textId="152D297F" w:rsidR="00FD1A72" w:rsidRPr="006731AC" w:rsidRDefault="007F36A1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PSA, oznaczonego w co najmniej tygodniowych odstępach, z dwoma wzrostami o co najmniej 50% wobec wartości wyjściowej (nadir) i stężenie PSA &gt;2 </w:t>
            </w:r>
            <w:proofErr w:type="spellStart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/ml</w:t>
            </w:r>
          </w:p>
          <w:p w14:paraId="158D2F4E" w14:textId="59F3B942" w:rsidR="00FD1A72" w:rsidRPr="006731AC" w:rsidRDefault="00E46DE2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62B05163" w14:textId="30F72D2F" w:rsidR="00A15C0B" w:rsidRPr="006731AC" w:rsidRDefault="00E46DE2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</w:t>
            </w:r>
            <w:r w:rsidR="00B55C7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zmian (układ kostny, narządy wewnętrzne, tkanki miękkie) w badaniach obrazowych</w:t>
            </w:r>
            <w:r w:rsidR="00083719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EA21F7A" w14:textId="043829C5" w:rsidR="004506CC" w:rsidRPr="006731AC" w:rsidRDefault="004506CC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niestosowanie wcześniejszego leczenia octanem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="00B54A2E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79A73006" w14:textId="77777777" w:rsidR="00B54A2E" w:rsidRPr="006731AC" w:rsidRDefault="00B54A2E" w:rsidP="00303C4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5A74D26B" w14:textId="7D8A35F3" w:rsidR="009051BD" w:rsidRPr="006731AC" w:rsidRDefault="00BE3676" w:rsidP="00303C40">
            <w:pPr>
              <w:pStyle w:val="Akapitzlist"/>
              <w:widowControl w:val="0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Chorych </w:t>
            </w:r>
            <w:r w:rsidR="00F149E9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na </w:t>
            </w:r>
            <w:r w:rsidR="00D761A4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 na kastrację raka gruczołu krokowego</w:t>
            </w:r>
            <w:r w:rsidR="00D761A4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D761A4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="00F149E9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F149E9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kabazytakselem</w:t>
            </w:r>
            <w:proofErr w:type="spellEnd"/>
            <w:r w:rsidR="001869D7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F149E9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(leczonych wcześniej </w:t>
            </w:r>
            <w:proofErr w:type="spellStart"/>
            <w:r w:rsidR="00F149E9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docetakselem</w:t>
            </w:r>
            <w:proofErr w:type="spellEnd"/>
            <w:r w:rsidR="00F149E9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)</w:t>
            </w:r>
          </w:p>
          <w:p w14:paraId="4EB94C08" w14:textId="77777777" w:rsidR="009051BD" w:rsidRPr="006731AC" w:rsidRDefault="009051BD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/l lub mniej) u chorych z progresją choroby ocenioną wg kryterium 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w pkt 2;</w:t>
            </w:r>
          </w:p>
          <w:p w14:paraId="35A69DBB" w14:textId="009DA9C2" w:rsidR="009051BD" w:rsidRPr="006731AC" w:rsidRDefault="009051BD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PSA, oznaczonego w co najmniej tygodniowych odstępach, z dwoma wzrostami o co najmniej 50% wobec wartości wyjściowej (nadir) i stężenie PSA &gt;2 </w:t>
            </w:r>
            <w:proofErr w:type="spellStart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/ml</w:t>
            </w:r>
          </w:p>
          <w:p w14:paraId="53FDEC12" w14:textId="77777777" w:rsidR="009051BD" w:rsidRPr="006731AC" w:rsidRDefault="009051BD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4F563FE9" w14:textId="4550DB62" w:rsidR="009051BD" w:rsidRPr="006731AC" w:rsidRDefault="009051BD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zmian (układ kostny, narządy wewnętrzne, tkanki miękkie) w badaniach obrazowych;</w:t>
            </w:r>
          </w:p>
          <w:p w14:paraId="3ADEB186" w14:textId="77777777" w:rsidR="009051BD" w:rsidRPr="006731AC" w:rsidRDefault="009051BD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aktywność aminotransferazy asparaginowej (</w:t>
            </w:r>
            <w:proofErr w:type="spellStart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) nie większa niż 1,5-krotna wartość górnego zakresu normy, a w przypadku niespełnienia tego kryterium konieczne jest zmniejszenie dawki zgodnie z zapisami </w:t>
            </w:r>
            <w:proofErr w:type="spellStart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734DFD" w14:textId="25681834" w:rsidR="009051BD" w:rsidRPr="006731AC" w:rsidRDefault="009051BD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stężenie bilirubiny całkowitej w granicach normy, a w przypadku gdy stężenie bilirubiny przekracza wartość górnego zakresu normy, ale nie jest większe niż 3-krotna wartoś</w:t>
            </w:r>
            <w:r w:rsidR="00F1522C" w:rsidRPr="006731AC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górnego zakresu normy, konieczne jest zmniejszenie dawki zgodnie z zapisami </w:t>
            </w:r>
            <w:proofErr w:type="spellStart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="00715E60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; nie wolno stosować </w:t>
            </w:r>
            <w:r w:rsidR="00303C40" w:rsidRPr="006731AC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715E60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gdy stężenie bilirubiny przekracza 3-krotną wartość górnego zakresu normy</w:t>
            </w: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0A0CFD1" w14:textId="77777777" w:rsidR="00E46071" w:rsidRPr="006731AC" w:rsidRDefault="00E46071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152A847D" w14:textId="3A83D3ED" w:rsidR="00E36E5E" w:rsidRPr="006731AC" w:rsidRDefault="00BE3676" w:rsidP="00303C40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Chorych na</w:t>
            </w:r>
            <w:r w:rsidR="00D761A4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opornego na kastrację raka gruczołu krokowego</w:t>
            </w:r>
            <w:r w:rsidR="00D761A4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D761A4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="00F149E9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36E5E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olaparybem</w:t>
            </w:r>
            <w:proofErr w:type="spellEnd"/>
          </w:p>
          <w:p w14:paraId="1B2961B1" w14:textId="77777777" w:rsidR="00E36E5E" w:rsidRPr="006731AC" w:rsidRDefault="00E36E5E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/l lub mniej), u chorych z progresją choroby ocenioną wg kryterium w pkt 2;</w:t>
            </w:r>
          </w:p>
          <w:p w14:paraId="1D957235" w14:textId="7685E29E" w:rsidR="00E36E5E" w:rsidRPr="006731AC" w:rsidRDefault="00E36E5E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PSA, oznaczonego w co najmniej tygodniowych odstępach, z dwoma wzrostami o co najmniej 50% wobec wartości wyjściowej (nadir) i stężenie PSA &gt;2 </w:t>
            </w:r>
            <w:proofErr w:type="spellStart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/ml</w:t>
            </w:r>
          </w:p>
          <w:p w14:paraId="094B29DB" w14:textId="77777777" w:rsidR="00E36E5E" w:rsidRPr="006731AC" w:rsidRDefault="00E36E5E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3E5D36BA" w14:textId="4E8C8F99" w:rsidR="001869D7" w:rsidRPr="006731AC" w:rsidRDefault="00E36E5E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zmian (układ kostny, narządy wewnętrzne, tkanki miękkie) w badaniach obrazowych;</w:t>
            </w:r>
          </w:p>
          <w:p w14:paraId="692577F3" w14:textId="79C6D039" w:rsidR="001869D7" w:rsidRPr="006731AC" w:rsidRDefault="001869D7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lastRenderedPageBreak/>
              <w:t>progresj</w:t>
            </w:r>
            <w:r w:rsidR="00715E60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</w:t>
            </w:r>
            <w:r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choroby podczas terapii lekiem hormonalnym nowej generacji (możliwe wcześniejsze </w:t>
            </w:r>
            <w:r w:rsidR="00E46071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zas</w:t>
            </w:r>
            <w:r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tosowanie </w:t>
            </w:r>
            <w:proofErr w:type="spellStart"/>
            <w:r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docetakselu</w:t>
            </w:r>
            <w:proofErr w:type="spellEnd"/>
            <w:r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</w:t>
            </w:r>
            <w:proofErr w:type="spellStart"/>
            <w:r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kabazytakselu</w:t>
            </w:r>
            <w:proofErr w:type="spellEnd"/>
            <w:r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przed lub po leku hormonalnym nowej generacji, o ile stwierdzono nieskuteczność chemioterapii)</w:t>
            </w:r>
            <w:r w:rsidR="00B54A2E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1FB9E91F" w14:textId="016DB781" w:rsidR="00E36E5E" w:rsidRPr="006731AC" w:rsidRDefault="00E36E5E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obecność patogennej lub prawdopodobnie patogennej mutacji (</w:t>
            </w:r>
            <w:proofErr w:type="spellStart"/>
            <w:r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germinalnej</w:t>
            </w:r>
            <w:proofErr w:type="spellEnd"/>
            <w:r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somatycznej) w genie </w:t>
            </w:r>
            <w:r w:rsidRPr="006731AC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bidi="pl-PL"/>
              </w:rPr>
              <w:t>BRCA1</w:t>
            </w:r>
            <w:r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</w:t>
            </w:r>
            <w:r w:rsidRPr="006731AC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bidi="pl-PL"/>
              </w:rPr>
              <w:t>BRCA2</w:t>
            </w:r>
            <w:r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5A93281C" w14:textId="31C8C2A0" w:rsidR="00CA530A" w:rsidRPr="006731AC" w:rsidRDefault="00E36E5E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="00CA530A" w:rsidRPr="006731AC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klirensem</w:t>
            </w:r>
            <w:proofErr w:type="spellEnd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kreatyniny 31-50 ml/min należy zmniejszyć dawkę leku zgodnie z </w:t>
            </w:r>
            <w:proofErr w:type="spellStart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, nie wolno stosować leku, kiedy </w:t>
            </w:r>
            <w:proofErr w:type="spellStart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klirens</w:t>
            </w:r>
            <w:proofErr w:type="spellEnd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wynosi 30 ml/min lub mniej</w:t>
            </w:r>
            <w:r w:rsidR="00802583" w:rsidRPr="006731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A727FF9" w14:textId="77777777" w:rsidR="007243BA" w:rsidRPr="006731AC" w:rsidRDefault="007243BA" w:rsidP="004C672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</w:p>
          <w:p w14:paraId="20E32128" w14:textId="77777777" w:rsidR="007243BA" w:rsidRPr="006731AC" w:rsidRDefault="007243BA" w:rsidP="004C672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terapii, za wyjątkiem trwających badań klinicznych tych leków, pod warunkiem, że w chwili rozpoczęcia leczenia spełniali kryteria kwalifikacji do programu lekowego.</w:t>
            </w:r>
          </w:p>
          <w:p w14:paraId="047F3045" w14:textId="77777777" w:rsidR="00D658D8" w:rsidRPr="006731AC" w:rsidRDefault="00D658D8" w:rsidP="004C67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68547E" w14:textId="38B3959D" w:rsidR="00904B9D" w:rsidRPr="006731AC" w:rsidRDefault="00904B9D" w:rsidP="004C672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731A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Czas leczenia w programie</w:t>
            </w:r>
          </w:p>
          <w:p w14:paraId="6C68A234" w14:textId="24DD07CF" w:rsidR="007D7474" w:rsidRPr="006731AC" w:rsidRDefault="0007274E" w:rsidP="004C672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7D7474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</w:t>
            </w:r>
            <w:r w:rsidR="005A6322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="007D7474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adku </w:t>
            </w:r>
            <w:r w:rsidR="00083719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zastosowania</w:t>
            </w:r>
            <w:r w:rsidR="00CD72CE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7474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apalutamid</w:t>
            </w:r>
            <w:r w:rsidR="005A6322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proofErr w:type="spellEnd"/>
            <w:r w:rsidR="007D7474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7D7474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darolutamid</w:t>
            </w:r>
            <w:r w:rsidR="005A6322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proofErr w:type="spellEnd"/>
            <w:r w:rsidR="007D7474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7D7474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enzalutamid</w:t>
            </w:r>
            <w:r w:rsidR="005A6322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proofErr w:type="spellEnd"/>
            <w:r w:rsidR="007D7474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D62D3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albo </w:t>
            </w:r>
            <w:proofErr w:type="spellStart"/>
            <w:r w:rsidR="000D62D3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kabazytakselu</w:t>
            </w:r>
            <w:proofErr w:type="spellEnd"/>
            <w:r w:rsidR="00CD72CE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E7624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albo </w:t>
            </w:r>
            <w:proofErr w:type="spellStart"/>
            <w:r w:rsidR="005E7624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olaparybu</w:t>
            </w:r>
            <w:proofErr w:type="spellEnd"/>
            <w:r w:rsidR="005E7624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bookmarkStart w:id="2" w:name="_Hlk125722377"/>
            <w:r w:rsidR="001B68C0" w:rsidRPr="006731A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D62D3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8C0" w:rsidRPr="006731AC">
              <w:rPr>
                <w:rFonts w:ascii="Times New Roman" w:hAnsi="Times New Roman" w:cs="Times New Roman"/>
                <w:sz w:val="20"/>
                <w:szCs w:val="20"/>
              </w:rPr>
              <w:t>trwa do czasu podjęcia przez lekarza prowadzącego decyzji o wyłączeniu świadczeniobiorcy z programu, zgodnie z kryteriami wyłączenia</w:t>
            </w:r>
            <w:r w:rsidR="00814B09" w:rsidRPr="006731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2"/>
          </w:p>
          <w:p w14:paraId="1ACD893E" w14:textId="77777777" w:rsidR="00D658D8" w:rsidRPr="006731AC" w:rsidRDefault="00D658D8" w:rsidP="004C6726">
            <w:pPr>
              <w:spacing w:after="60" w:line="276" w:lineRule="auto"/>
            </w:pPr>
          </w:p>
          <w:p w14:paraId="498ACBC5" w14:textId="7B6499AC" w:rsidR="003A6A07" w:rsidRPr="006731AC" w:rsidRDefault="003A6A07" w:rsidP="004C672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wy</w:t>
            </w:r>
            <w:r w:rsidR="006B377A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łączenia</w:t>
            </w:r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z programu</w:t>
            </w:r>
          </w:p>
          <w:p w14:paraId="377B7C10" w14:textId="600505AB" w:rsidR="00D5612B" w:rsidRPr="006731AC" w:rsidRDefault="00D5612B" w:rsidP="004C6726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choroby w trakcie stosowania leku, definiowana według następujących kryteriów: </w:t>
            </w:r>
          </w:p>
          <w:p w14:paraId="419596B8" w14:textId="4E814ADE" w:rsidR="002B3AD8" w:rsidRPr="006731AC" w:rsidRDefault="002B3AD8" w:rsidP="004C6726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progresji choroby określonej na podstawie trzech kolejnych wzrostów stężenia PSA, oznaczonego w co najmniej tygodniowych odstępach, z dwoma wzrostami o co najmniej 50% wobec najniższej wartości osiągniętej w trakcie terapii (nadir) i stężenie PSA &gt;2 </w:t>
            </w:r>
            <w:proofErr w:type="spellStart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/ml, chyba że lekarz prowadzący uzna, że leczenie przynosi udokumentowaną korzyść </w:t>
            </w:r>
            <w:r w:rsidRPr="006731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kliniczną i nieuzasadnione jest (albo niemożliwe) zastosowanie terapii kolejnej linii</w:t>
            </w:r>
          </w:p>
          <w:p w14:paraId="72B25E50" w14:textId="06A34B8A" w:rsidR="0073533D" w:rsidRPr="006731AC" w:rsidRDefault="0073533D" w:rsidP="0007274E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7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FD91EFF" w14:textId="1CE9C736" w:rsidR="0073533D" w:rsidRPr="006731AC" w:rsidRDefault="00541E1B" w:rsidP="0007274E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progresji choroby ustalonej na podstawie aktualnej klasyfikacji RECIST (dla zmian w tkankach miękkich) lub PCWG (dla zmian w układzie kostnym);</w:t>
            </w:r>
          </w:p>
          <w:p w14:paraId="3D2114A2" w14:textId="70EA977B" w:rsidR="00437501" w:rsidRPr="006731AC" w:rsidRDefault="00B874E8" w:rsidP="004C672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utrzymujące się </w:t>
            </w:r>
            <w:r w:rsidR="00246D05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pogorszenie </w:t>
            </w:r>
            <w:r w:rsidR="001578E7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stanu </w:t>
            </w:r>
            <w:r w:rsidR="00246D05" w:rsidRPr="006731AC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DC1BBE" w:rsidRPr="006731A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4C226C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A65A29" w14:textId="5122091A" w:rsidR="00541E1B" w:rsidRPr="006731AC" w:rsidRDefault="00DC1BBE" w:rsidP="004C6726">
            <w:pPr>
              <w:pStyle w:val="Akapitzlist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do stopnia 2-</w:t>
            </w:r>
            <w:r w:rsidR="0061756B" w:rsidRPr="006731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731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541E1B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według ECOG w przypadku leczenia </w:t>
            </w:r>
            <w:proofErr w:type="spellStart"/>
            <w:r w:rsidR="00541E1B" w:rsidRPr="006731AC">
              <w:rPr>
                <w:rFonts w:ascii="Times New Roman" w:hAnsi="Times New Roman" w:cs="Times New Roman"/>
                <w:sz w:val="20"/>
                <w:szCs w:val="20"/>
              </w:rPr>
              <w:t>apalutamidem</w:t>
            </w:r>
            <w:proofErr w:type="spellEnd"/>
            <w:r w:rsidR="00541E1B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541E1B" w:rsidRPr="006731AC">
              <w:rPr>
                <w:rFonts w:ascii="Times New Roman" w:hAnsi="Times New Roman" w:cs="Times New Roman"/>
                <w:sz w:val="20"/>
                <w:szCs w:val="20"/>
              </w:rPr>
              <w:t>nmCRPC</w:t>
            </w:r>
            <w:proofErr w:type="spellEnd"/>
            <w:r w:rsidR="00541E1B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="00541E1B" w:rsidRPr="006731AC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541E1B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541E1B" w:rsidRPr="006731AC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541E1B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541E1B" w:rsidRPr="006731AC">
              <w:rPr>
                <w:rFonts w:ascii="Times New Roman" w:hAnsi="Times New Roman" w:cs="Times New Roman"/>
                <w:sz w:val="20"/>
                <w:szCs w:val="20"/>
              </w:rPr>
              <w:t>nmCRPC</w:t>
            </w:r>
            <w:proofErr w:type="spellEnd"/>
            <w:r w:rsidR="00541E1B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541E1B" w:rsidRPr="006731AC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541E1B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przed podaniem </w:t>
            </w:r>
            <w:proofErr w:type="spellStart"/>
            <w:r w:rsidR="00541E1B" w:rsidRPr="006731AC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541E1B" w:rsidRPr="006731A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FA26536" w14:textId="4C354FA6" w:rsidR="00DC1BBE" w:rsidRPr="006731AC" w:rsidRDefault="005A6FC7" w:rsidP="004C672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D6031D8" w14:textId="4FA01BC5" w:rsidR="00B2401D" w:rsidRPr="006731AC" w:rsidRDefault="00DC1BBE" w:rsidP="004C6726">
            <w:pPr>
              <w:pStyle w:val="Akapitzlist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do stopnia</w:t>
            </w:r>
            <w:r w:rsidRPr="006731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3-4 </w:t>
            </w:r>
            <w:r w:rsidR="00B2401D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według ECOG w przypadku leczenia </w:t>
            </w:r>
            <w:proofErr w:type="spellStart"/>
            <w:r w:rsidR="002C6246" w:rsidRPr="006731AC">
              <w:rPr>
                <w:rFonts w:ascii="Times New Roman" w:hAnsi="Times New Roman" w:cs="Times New Roman"/>
                <w:sz w:val="20"/>
                <w:szCs w:val="20"/>
              </w:rPr>
              <w:t>apalutamidem</w:t>
            </w:r>
            <w:proofErr w:type="spellEnd"/>
            <w:r w:rsidR="002C6246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C6246" w:rsidRPr="006731AC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2C6246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="00B2401D" w:rsidRPr="006731AC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B2401D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B2401D" w:rsidRPr="006731AC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B2401D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po podaniu </w:t>
            </w:r>
            <w:proofErr w:type="spellStart"/>
            <w:r w:rsidR="00B2401D" w:rsidRPr="006731AC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B2401D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="00B2401D" w:rsidRPr="006731AC">
              <w:rPr>
                <w:rFonts w:ascii="Times New Roman" w:hAnsi="Times New Roman" w:cs="Times New Roman"/>
                <w:sz w:val="20"/>
                <w:szCs w:val="20"/>
              </w:rPr>
              <w:t>kabazytakselem</w:t>
            </w:r>
            <w:proofErr w:type="spellEnd"/>
            <w:r w:rsidR="00B2401D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2401D" w:rsidRPr="006731AC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2C6246" w:rsidRPr="006731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DB0045F" w14:textId="5B85BD04" w:rsidR="00C50CDC" w:rsidRPr="006731AC" w:rsidRDefault="005E2726" w:rsidP="004C672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wystąpienie objawów nadwrażliwości na którykolwiek ze stosowanych leków lub </w:t>
            </w:r>
            <w:r w:rsidR="00877F06" w:rsidRPr="006731AC">
              <w:rPr>
                <w:rFonts w:ascii="Times New Roman" w:hAnsi="Times New Roman" w:cs="Times New Roman"/>
                <w:sz w:val="20"/>
                <w:szCs w:val="20"/>
              </w:rPr>
              <w:t>substancje pomocnicze</w:t>
            </w:r>
            <w:r w:rsidR="00445C80" w:rsidRPr="006731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717DD7" w14:textId="64025F02" w:rsidR="00F05285" w:rsidRPr="006731AC" w:rsidRDefault="006252F7" w:rsidP="004C6726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wystąpienie toksyczności wymagającej zakończenia leczenia </w:t>
            </w:r>
            <w:r w:rsidR="00F05285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opinii lekarza prowadzącego lub 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zgodnie z aktualnie obowiązującą</w:t>
            </w:r>
            <w:r w:rsidR="00F05285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F05285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ChPL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A3B8342" w14:textId="1A8F389C" w:rsidR="00C50CDC" w:rsidRPr="006731AC" w:rsidRDefault="00C50CDC" w:rsidP="004C672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 opinii lekarza prowadzącego uniemożliwiają prowadzenie leczenia;</w:t>
            </w:r>
          </w:p>
          <w:p w14:paraId="4DD81EBB" w14:textId="0A0A8933" w:rsidR="006252F7" w:rsidRPr="006731AC" w:rsidRDefault="006252F7" w:rsidP="004C672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klinicznie istotne pogorszenie jakości życia w trakcie stosowania leku;</w:t>
            </w:r>
          </w:p>
          <w:p w14:paraId="792166CE" w14:textId="08BD57B8" w:rsidR="00A40059" w:rsidRPr="006731AC" w:rsidRDefault="00A40059" w:rsidP="004C672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</w:t>
            </w:r>
            <w:r w:rsidR="00E27438" w:rsidRPr="006731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204C4CF" w14:textId="793ADB6D" w:rsidR="007C23DB" w:rsidRPr="006731AC" w:rsidRDefault="007C23DB" w:rsidP="00303C40">
            <w:pPr>
              <w:pStyle w:val="Akapitzlist"/>
              <w:spacing w:after="60" w:line="276" w:lineRule="auto"/>
              <w:ind w:left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B5FFC" w14:textId="77777777" w:rsidR="00B54A2E" w:rsidRPr="006731AC" w:rsidRDefault="00B54A2E" w:rsidP="00303C4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28B18784" w14:textId="4159B446" w:rsidR="007F72A0" w:rsidRPr="006731AC" w:rsidRDefault="007F72A0" w:rsidP="00303C4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U chorych, którzy nie byli uprzednio poddani </w:t>
            </w:r>
            <w:proofErr w:type="spellStart"/>
            <w:r w:rsidRPr="006731A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orchidektomii</w:t>
            </w:r>
            <w:proofErr w:type="spellEnd"/>
            <w:r w:rsidRPr="006731A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należy utrzymać supresję androgenową z zastosowaniem agonistów </w:t>
            </w: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lub antagonistów</w:t>
            </w:r>
            <w:r w:rsidRPr="006731A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LHRH</w:t>
            </w:r>
            <w:r w:rsidR="003B2D8A" w:rsidRPr="006731A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.</w:t>
            </w:r>
            <w:r w:rsidRPr="006731A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</w:p>
          <w:p w14:paraId="2967A5BC" w14:textId="2D482BD8" w:rsidR="00961AC7" w:rsidRPr="006731AC" w:rsidRDefault="007D36CB" w:rsidP="00303C40">
            <w:pPr>
              <w:pStyle w:val="Akapitzlist"/>
              <w:widowControl w:val="0"/>
              <w:numPr>
                <w:ilvl w:val="3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</w:pPr>
            <w:proofErr w:type="spellStart"/>
            <w:r w:rsidRPr="006731A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a</w:t>
            </w:r>
            <w:r w:rsidR="00F53DA3" w:rsidRPr="006731A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palutamid</w:t>
            </w:r>
            <w:proofErr w:type="spellEnd"/>
            <w:r w:rsidR="00961AC7" w:rsidRPr="006731A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:</w:t>
            </w:r>
            <w:r w:rsidR="00303C40" w:rsidRPr="006731A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C74732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z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alecana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dawka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EE4089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wynosi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240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mg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(cztery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tabletki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60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mg)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i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jest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stosowana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jednorazowo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co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24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godziny.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Lek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można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stosować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z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pokarmem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lub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bez</w:t>
            </w:r>
            <w:r w:rsidR="00A862A6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6731AC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pokarmu.</w:t>
            </w:r>
          </w:p>
          <w:p w14:paraId="18F1E9C6" w14:textId="1A980AE0" w:rsidR="007F72A0" w:rsidRPr="006731AC" w:rsidRDefault="007D36CB" w:rsidP="00303C40">
            <w:pPr>
              <w:pStyle w:val="Default"/>
              <w:numPr>
                <w:ilvl w:val="3"/>
                <w:numId w:val="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6731AC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d</w:t>
            </w:r>
            <w:r w:rsidR="00961AC7" w:rsidRPr="006731AC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arolutamid</w:t>
            </w:r>
            <w:proofErr w:type="spellEnd"/>
            <w:r w:rsidR="00961AC7" w:rsidRPr="006731AC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:</w:t>
            </w:r>
            <w:r w:rsidR="00303C40" w:rsidRPr="006731AC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C74732" w:rsidRPr="006731AC">
              <w:rPr>
                <w:rFonts w:eastAsia="SimSun"/>
                <w:sz w:val="20"/>
                <w:szCs w:val="20"/>
                <w:lang w:eastAsia="zh-CN"/>
              </w:rPr>
              <w:t>z</w:t>
            </w:r>
            <w:r w:rsidR="00961AC7" w:rsidRPr="006731AC">
              <w:rPr>
                <w:rFonts w:eastAsia="SimSun"/>
                <w:sz w:val="20"/>
                <w:szCs w:val="20"/>
                <w:lang w:eastAsia="zh-CN"/>
              </w:rPr>
              <w:t>alecana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dawka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6C666C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wynosi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600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mg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(dwie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tabletki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po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300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mg)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przyjmowane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dwa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razy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na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dobę,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co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stanowi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równoważność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całkowitej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dawki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dobowej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wynoszącej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1200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>mg.</w:t>
            </w:r>
            <w:r w:rsidR="00A862A6" w:rsidRPr="006731AC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91DB7" w:rsidRPr="006731AC">
              <w:rPr>
                <w:sz w:val="20"/>
                <w:szCs w:val="20"/>
              </w:rPr>
              <w:t>Lek</w:t>
            </w:r>
            <w:r w:rsidR="00A862A6" w:rsidRPr="006731AC">
              <w:rPr>
                <w:sz w:val="20"/>
                <w:szCs w:val="20"/>
              </w:rPr>
              <w:t xml:space="preserve"> </w:t>
            </w:r>
            <w:r w:rsidR="00991DB7" w:rsidRPr="006731AC">
              <w:rPr>
                <w:sz w:val="20"/>
                <w:szCs w:val="20"/>
              </w:rPr>
              <w:t>należy</w:t>
            </w:r>
            <w:r w:rsidR="00A862A6" w:rsidRPr="006731AC">
              <w:rPr>
                <w:sz w:val="20"/>
                <w:szCs w:val="20"/>
              </w:rPr>
              <w:t xml:space="preserve"> </w:t>
            </w:r>
            <w:r w:rsidR="00991DB7" w:rsidRPr="006731AC">
              <w:rPr>
                <w:sz w:val="20"/>
                <w:szCs w:val="20"/>
              </w:rPr>
              <w:t>połykać</w:t>
            </w:r>
            <w:r w:rsidR="00A862A6" w:rsidRPr="006731AC">
              <w:rPr>
                <w:sz w:val="20"/>
                <w:szCs w:val="20"/>
              </w:rPr>
              <w:t xml:space="preserve"> </w:t>
            </w:r>
            <w:r w:rsidR="00991DB7" w:rsidRPr="006731AC">
              <w:rPr>
                <w:sz w:val="20"/>
                <w:szCs w:val="20"/>
              </w:rPr>
              <w:t>w</w:t>
            </w:r>
            <w:r w:rsidR="00A862A6" w:rsidRPr="006731AC">
              <w:rPr>
                <w:sz w:val="20"/>
                <w:szCs w:val="20"/>
              </w:rPr>
              <w:t xml:space="preserve"> </w:t>
            </w:r>
            <w:r w:rsidR="00991DB7" w:rsidRPr="006731AC">
              <w:rPr>
                <w:sz w:val="20"/>
                <w:szCs w:val="20"/>
              </w:rPr>
              <w:t>całości</w:t>
            </w:r>
            <w:r w:rsidR="00A862A6" w:rsidRPr="006731AC">
              <w:rPr>
                <w:sz w:val="20"/>
                <w:szCs w:val="20"/>
              </w:rPr>
              <w:t xml:space="preserve"> </w:t>
            </w:r>
            <w:r w:rsidR="00991DB7" w:rsidRPr="006731AC">
              <w:rPr>
                <w:sz w:val="20"/>
                <w:szCs w:val="20"/>
              </w:rPr>
              <w:t>z</w:t>
            </w:r>
            <w:r w:rsidR="00A862A6" w:rsidRPr="006731AC">
              <w:rPr>
                <w:sz w:val="20"/>
                <w:szCs w:val="20"/>
              </w:rPr>
              <w:t xml:space="preserve"> </w:t>
            </w:r>
            <w:r w:rsidR="00991DB7" w:rsidRPr="006731AC">
              <w:rPr>
                <w:sz w:val="20"/>
                <w:szCs w:val="20"/>
              </w:rPr>
              <w:t>pokarmem.</w:t>
            </w:r>
          </w:p>
          <w:p w14:paraId="1C56CEB5" w14:textId="7117FC61" w:rsidR="00447C42" w:rsidRPr="006731AC" w:rsidRDefault="007D36CB" w:rsidP="00303C40">
            <w:pPr>
              <w:pStyle w:val="Akapitzlist"/>
              <w:widowControl w:val="0"/>
              <w:numPr>
                <w:ilvl w:val="3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31A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</w:t>
            </w:r>
            <w:r w:rsidR="00961AC7" w:rsidRPr="006731A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nzalutamid</w:t>
            </w:r>
            <w:proofErr w:type="spellEnd"/>
            <w:r w:rsidR="00BF356A" w:rsidRPr="006731A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:</w:t>
            </w:r>
            <w:r w:rsidR="00303C40" w:rsidRPr="006731A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74732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961AC7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>alecana</w:t>
            </w:r>
            <w:r w:rsidR="00A862A6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>dawka</w:t>
            </w:r>
            <w:r w:rsidR="00A862A6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C666C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>wynosi</w:t>
            </w:r>
            <w:r w:rsidR="00A862A6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  <w:r w:rsidR="00A862A6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>mg</w:t>
            </w:r>
            <w:r w:rsidR="00A862A6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>(cztery</w:t>
            </w:r>
            <w:r w:rsidR="00A862A6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>kapsułki</w:t>
            </w:r>
            <w:r w:rsidR="00A862A6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A862A6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>tabletki</w:t>
            </w:r>
            <w:r w:rsidR="00A862A6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>po</w:t>
            </w:r>
            <w:r w:rsidR="00A862A6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  <w:r w:rsidR="00A862A6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>mg)</w:t>
            </w:r>
            <w:r w:rsidR="00A862A6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A862A6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>jednorazowej</w:t>
            </w:r>
            <w:r w:rsidR="00A862A6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>dawce</w:t>
            </w:r>
            <w:r w:rsidR="00A862A6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>dobowej.</w:t>
            </w:r>
            <w:r w:rsidR="00A862A6" w:rsidRPr="006731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6731AC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A862A6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6731AC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A862A6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6731AC">
              <w:rPr>
                <w:rFonts w:ascii="Times New Roman" w:hAnsi="Times New Roman" w:cs="Times New Roman"/>
                <w:sz w:val="20"/>
                <w:szCs w:val="20"/>
              </w:rPr>
              <w:t>stosować</w:t>
            </w:r>
            <w:r w:rsidR="00A862A6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6731A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62A6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6731AC">
              <w:rPr>
                <w:rFonts w:ascii="Times New Roman" w:hAnsi="Times New Roman" w:cs="Times New Roman"/>
                <w:sz w:val="20"/>
                <w:szCs w:val="20"/>
              </w:rPr>
              <w:t>pokarmem</w:t>
            </w:r>
            <w:r w:rsidR="00A862A6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6731A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62A6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6731AC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A862A6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6731AC">
              <w:rPr>
                <w:rFonts w:ascii="Times New Roman" w:hAnsi="Times New Roman" w:cs="Times New Roman"/>
                <w:sz w:val="20"/>
                <w:szCs w:val="20"/>
              </w:rPr>
              <w:t>pokarmu.</w:t>
            </w:r>
          </w:p>
          <w:p w14:paraId="6862CBF5" w14:textId="77777777" w:rsidR="00FC0975" w:rsidRPr="006731AC" w:rsidRDefault="00FC0975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Leków hormonalnych nowej generacji </w:t>
            </w: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nie należy stosować łącznie z </w:t>
            </w:r>
            <w:proofErr w:type="spellStart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ani innymi antyandrogenami lub inhibitorami CYP17.</w:t>
            </w:r>
          </w:p>
          <w:p w14:paraId="24B12C25" w14:textId="17B2A9CA" w:rsidR="00AF079D" w:rsidRPr="006731AC" w:rsidRDefault="00FC0975" w:rsidP="00303C40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="001605D7" w:rsidRPr="0067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laparyb</w:t>
            </w:r>
            <w:proofErr w:type="spellEnd"/>
            <w:r w:rsidR="001605D7" w:rsidRPr="0067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303C40" w:rsidRPr="0067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74732" w:rsidRPr="006731A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062D8" w:rsidRPr="006731AC">
              <w:rPr>
                <w:rFonts w:ascii="Times New Roman" w:hAnsi="Times New Roman" w:cs="Times New Roman"/>
                <w:sz w:val="20"/>
                <w:szCs w:val="20"/>
              </w:rPr>
              <w:t>alecana dawka wynosi 300 mg</w:t>
            </w:r>
            <w:r w:rsidR="00303C40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62D8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(dwie tabletki po 150 mg) dwa razy na dobę, co </w:t>
            </w:r>
            <w:r w:rsidR="009062D8" w:rsidRPr="006731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odpowiada całkowitej dawce dobowej 600 mg. Lek można stosować z pokarmem lub bez pokarmu.</w:t>
            </w:r>
            <w:r w:rsidR="00AF079D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Lek </w:t>
            </w:r>
            <w:r w:rsidR="00C90AA6" w:rsidRPr="006731AC">
              <w:rPr>
                <w:rFonts w:ascii="Times New Roman" w:hAnsi="Times New Roman" w:cs="Times New Roman"/>
                <w:sz w:val="20"/>
                <w:szCs w:val="20"/>
              </w:rPr>
              <w:t>stosuje się</w:t>
            </w:r>
            <w:r w:rsidR="00AF079D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="00AF079D" w:rsidRPr="006731AC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AF079D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C90AA6" w:rsidRPr="006731AC">
              <w:rPr>
                <w:rFonts w:ascii="Times New Roman" w:hAnsi="Times New Roman" w:cs="Times New Roman"/>
                <w:sz w:val="20"/>
                <w:szCs w:val="20"/>
              </w:rPr>
              <w:t>za wyjątkiem</w:t>
            </w:r>
            <w:r w:rsidR="00AF079D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0AA6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leczenia skojarzonego z </w:t>
            </w:r>
            <w:r w:rsidR="00AF079D" w:rsidRPr="006731AC">
              <w:rPr>
                <w:rFonts w:ascii="Times New Roman" w:hAnsi="Times New Roman" w:cs="Times New Roman"/>
                <w:sz w:val="20"/>
                <w:szCs w:val="20"/>
              </w:rPr>
              <w:t>analogiem lub antagonistą LHRH).</w:t>
            </w:r>
          </w:p>
          <w:p w14:paraId="295E72CB" w14:textId="63B8C565" w:rsidR="007F72A0" w:rsidRPr="006731AC" w:rsidRDefault="00FC0975" w:rsidP="00303C40">
            <w:pPr>
              <w:pStyle w:val="Akapitzlist"/>
              <w:numPr>
                <w:ilvl w:val="3"/>
                <w:numId w:val="3"/>
              </w:numPr>
              <w:autoSpaceDN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</w:t>
            </w:r>
            <w:r w:rsidR="00954FC9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abazytaksel</w:t>
            </w:r>
            <w:proofErr w:type="spellEnd"/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:</w:t>
            </w:r>
            <w:r w:rsidR="00303C40"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6C666C" w:rsidRPr="006731A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72A0" w:rsidRPr="006731AC">
              <w:rPr>
                <w:rFonts w:ascii="Times New Roman" w:hAnsi="Times New Roman" w:cs="Times New Roman"/>
                <w:sz w:val="20"/>
                <w:szCs w:val="20"/>
              </w:rPr>
              <w:t>alecana dawka wynosi 25 mg/m</w:t>
            </w:r>
            <w:r w:rsidR="007F72A0" w:rsidRPr="006731A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7F72A0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F72A0" w:rsidRPr="006731AC">
              <w:rPr>
                <w:rFonts w:ascii="Times New Roman" w:hAnsi="Times New Roman" w:cs="Times New Roman"/>
                <w:sz w:val="20"/>
                <w:szCs w:val="20"/>
              </w:rPr>
              <w:t>pc</w:t>
            </w:r>
            <w:proofErr w:type="spellEnd"/>
            <w:r w:rsidR="007F72A0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="008C2704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podawana w 1-godzinnej infuzji dożylnej co 3 tygodnie, w skojarzeniu z doustnym </w:t>
            </w:r>
            <w:proofErr w:type="spellStart"/>
            <w:r w:rsidR="008C2704" w:rsidRPr="006731AC">
              <w:rPr>
                <w:rFonts w:ascii="Times New Roman" w:hAnsi="Times New Roman" w:cs="Times New Roman"/>
                <w:sz w:val="20"/>
                <w:szCs w:val="20"/>
              </w:rPr>
              <w:t>prednizonem</w:t>
            </w:r>
            <w:proofErr w:type="spellEnd"/>
            <w:r w:rsidR="008C2704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="008C2704" w:rsidRPr="006731AC">
              <w:rPr>
                <w:rFonts w:ascii="Times New Roman" w:hAnsi="Times New Roman" w:cs="Times New Roman"/>
                <w:sz w:val="20"/>
                <w:szCs w:val="20"/>
              </w:rPr>
              <w:t>prednizolonem</w:t>
            </w:r>
            <w:proofErr w:type="spellEnd"/>
            <w:r w:rsidR="008C2704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w dawce 10 mg, podawanym codziennie podczas leczenia.</w:t>
            </w:r>
          </w:p>
          <w:p w14:paraId="52D5DE38" w14:textId="7BC7C971" w:rsidR="001869D7" w:rsidRPr="006731AC" w:rsidRDefault="001869D7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Czas od zakończenia chemioterapii z udziałem </w:t>
            </w:r>
            <w:proofErr w:type="spellStart"/>
            <w:r w:rsidRPr="006731A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docetakselu</w:t>
            </w:r>
            <w:proofErr w:type="spellEnd"/>
            <w:r w:rsidRPr="006731A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powinien wynosić co najmniej 4 tygodnie</w:t>
            </w:r>
            <w:r w:rsidR="0007274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.</w:t>
            </w:r>
          </w:p>
          <w:p w14:paraId="25A7EA7D" w14:textId="7E6A875D" w:rsidR="007F72A0" w:rsidRPr="006731AC" w:rsidRDefault="007F72A0" w:rsidP="00303C40">
            <w:pPr>
              <w:pStyle w:val="TableParagraph"/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6731AC">
              <w:rPr>
                <w:sz w:val="20"/>
                <w:szCs w:val="20"/>
                <w:lang w:val="pl-PL"/>
              </w:rPr>
              <w:t>Premedykacja</w:t>
            </w:r>
            <w:r w:rsidR="00ED0B17" w:rsidRPr="006731AC">
              <w:rPr>
                <w:sz w:val="20"/>
                <w:szCs w:val="20"/>
                <w:lang w:val="pl-PL"/>
              </w:rPr>
              <w:t>:</w:t>
            </w:r>
          </w:p>
          <w:p w14:paraId="35DB9647" w14:textId="3771ECFF" w:rsidR="007F72A0" w:rsidRPr="006731AC" w:rsidRDefault="00ED0B17" w:rsidP="00303C40">
            <w:pPr>
              <w:pStyle w:val="TableParagraph"/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6731AC">
              <w:rPr>
                <w:sz w:val="20"/>
                <w:szCs w:val="20"/>
                <w:lang w:val="pl-PL"/>
              </w:rPr>
              <w:t>w</w:t>
            </w:r>
            <w:r w:rsidR="007F72A0" w:rsidRPr="006731AC">
              <w:rPr>
                <w:sz w:val="20"/>
                <w:szCs w:val="20"/>
                <w:lang w:val="pl-PL"/>
              </w:rPr>
              <w:t xml:space="preserve"> celu zmniejszenia ryzyka wystąpienia i nasilenia reakcji nadwrażliwości, zalecany schemat premedykacji powinien być wykonany przynajmniej 30 minut przed każdym podaniem leku </w:t>
            </w:r>
            <w:proofErr w:type="spellStart"/>
            <w:r w:rsidR="007F72A0" w:rsidRPr="006731AC">
              <w:rPr>
                <w:sz w:val="20"/>
                <w:szCs w:val="20"/>
                <w:lang w:val="pl-PL"/>
              </w:rPr>
              <w:t>kabazytaksel</w:t>
            </w:r>
            <w:proofErr w:type="spellEnd"/>
            <w:r w:rsidR="007F72A0" w:rsidRPr="006731AC">
              <w:rPr>
                <w:sz w:val="20"/>
                <w:szCs w:val="20"/>
                <w:lang w:val="pl-PL"/>
              </w:rPr>
              <w:t xml:space="preserve"> poprzez dożylne podanie następujących produktów leczniczych:</w:t>
            </w:r>
          </w:p>
          <w:p w14:paraId="4420E59A" w14:textId="70BE2235" w:rsidR="007F72A0" w:rsidRPr="006731AC" w:rsidRDefault="007F72A0" w:rsidP="00303C40">
            <w:pPr>
              <w:pStyle w:val="TableParagraph"/>
              <w:numPr>
                <w:ilvl w:val="4"/>
                <w:numId w:val="3"/>
              </w:numPr>
              <w:tabs>
                <w:tab w:val="left" w:pos="426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6731AC">
              <w:rPr>
                <w:sz w:val="20"/>
                <w:szCs w:val="20"/>
                <w:lang w:val="pl-PL"/>
              </w:rPr>
              <w:t xml:space="preserve">lek przeciwhistaminowy (5 mg </w:t>
            </w:r>
            <w:proofErr w:type="spellStart"/>
            <w:r w:rsidRPr="006731AC">
              <w:rPr>
                <w:sz w:val="20"/>
                <w:szCs w:val="20"/>
                <w:lang w:val="pl-PL"/>
              </w:rPr>
              <w:t>dekschlorfenyraminy</w:t>
            </w:r>
            <w:proofErr w:type="spellEnd"/>
            <w:r w:rsidRPr="006731AC">
              <w:rPr>
                <w:spacing w:val="11"/>
                <w:sz w:val="20"/>
                <w:szCs w:val="20"/>
                <w:lang w:val="pl-PL"/>
              </w:rPr>
              <w:t xml:space="preserve"> </w:t>
            </w:r>
            <w:r w:rsidRPr="006731AC">
              <w:rPr>
                <w:sz w:val="20"/>
                <w:szCs w:val="20"/>
                <w:lang w:val="pl-PL"/>
              </w:rPr>
              <w:t xml:space="preserve">lub 25 mg </w:t>
            </w:r>
            <w:proofErr w:type="spellStart"/>
            <w:r w:rsidRPr="006731AC">
              <w:rPr>
                <w:sz w:val="20"/>
                <w:szCs w:val="20"/>
                <w:lang w:val="pl-PL"/>
              </w:rPr>
              <w:t>difenhydraminy</w:t>
            </w:r>
            <w:proofErr w:type="spellEnd"/>
            <w:r w:rsidRPr="006731AC">
              <w:rPr>
                <w:sz w:val="20"/>
                <w:szCs w:val="20"/>
                <w:lang w:val="pl-PL"/>
              </w:rPr>
              <w:t xml:space="preserve"> albo lek o równoważnej sile działania)</w:t>
            </w:r>
            <w:r w:rsidR="008B40A4" w:rsidRPr="006731AC">
              <w:rPr>
                <w:sz w:val="20"/>
                <w:szCs w:val="20"/>
                <w:lang w:val="pl-PL"/>
              </w:rPr>
              <w:t>,</w:t>
            </w:r>
          </w:p>
          <w:p w14:paraId="1F7F8A2D" w14:textId="73FD7A6E" w:rsidR="00E73964" w:rsidRPr="006731AC" w:rsidRDefault="007F72A0" w:rsidP="00E73964">
            <w:pPr>
              <w:pStyle w:val="TableParagraph"/>
              <w:numPr>
                <w:ilvl w:val="4"/>
                <w:numId w:val="3"/>
              </w:numPr>
              <w:tabs>
                <w:tab w:val="left" w:pos="426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6731AC">
              <w:rPr>
                <w:sz w:val="20"/>
                <w:szCs w:val="20"/>
                <w:lang w:val="pl-PL"/>
              </w:rPr>
              <w:t xml:space="preserve">kortykosteroid (8 mg </w:t>
            </w:r>
            <w:proofErr w:type="spellStart"/>
            <w:r w:rsidRPr="006731AC">
              <w:rPr>
                <w:sz w:val="20"/>
                <w:szCs w:val="20"/>
                <w:lang w:val="pl-PL"/>
              </w:rPr>
              <w:t>deksametazonu</w:t>
            </w:r>
            <w:proofErr w:type="spellEnd"/>
            <w:r w:rsidRPr="006731AC">
              <w:rPr>
                <w:sz w:val="20"/>
                <w:szCs w:val="20"/>
                <w:lang w:val="pl-PL"/>
              </w:rPr>
              <w:t xml:space="preserve"> albo lek o równoważnej sile działania)</w:t>
            </w:r>
            <w:r w:rsidRPr="006731AC">
              <w:rPr>
                <w:spacing w:val="-2"/>
                <w:sz w:val="20"/>
                <w:szCs w:val="20"/>
                <w:lang w:val="pl-PL"/>
              </w:rPr>
              <w:t xml:space="preserve"> </w:t>
            </w:r>
            <w:r w:rsidRPr="006731AC">
              <w:rPr>
                <w:sz w:val="20"/>
                <w:szCs w:val="20"/>
                <w:lang w:val="pl-PL"/>
              </w:rPr>
              <w:t>oraz</w:t>
            </w:r>
            <w:r w:rsidR="00F011A0" w:rsidRPr="006731AC">
              <w:rPr>
                <w:sz w:val="20"/>
                <w:szCs w:val="20"/>
                <w:lang w:val="pl-PL"/>
              </w:rPr>
              <w:t xml:space="preserve"> </w:t>
            </w:r>
            <w:r w:rsidRPr="006731AC">
              <w:rPr>
                <w:sz w:val="20"/>
                <w:szCs w:val="20"/>
                <w:lang w:val="pl-PL"/>
              </w:rPr>
              <w:t>antagonista receptora H2 (</w:t>
            </w:r>
            <w:proofErr w:type="spellStart"/>
            <w:r w:rsidRPr="006731AC">
              <w:rPr>
                <w:sz w:val="20"/>
                <w:szCs w:val="20"/>
                <w:lang w:val="pl-PL"/>
              </w:rPr>
              <w:t>ranitydyna</w:t>
            </w:r>
            <w:proofErr w:type="spellEnd"/>
            <w:r w:rsidRPr="006731AC">
              <w:rPr>
                <w:sz w:val="20"/>
                <w:szCs w:val="20"/>
                <w:lang w:val="pl-PL"/>
              </w:rPr>
              <w:t xml:space="preserve"> albo lek o równoważnej sile działania).</w:t>
            </w:r>
          </w:p>
          <w:p w14:paraId="0DB5B0B3" w14:textId="77777777" w:rsidR="00E73964" w:rsidRPr="006731AC" w:rsidRDefault="00E73964" w:rsidP="00E73964">
            <w:pPr>
              <w:pStyle w:val="TableParagraph"/>
              <w:tabs>
                <w:tab w:val="left" w:pos="426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</w:p>
          <w:p w14:paraId="612CDDC2" w14:textId="77777777" w:rsidR="00E73964" w:rsidRPr="006731AC" w:rsidRDefault="00E73964" w:rsidP="00E73964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  <w:lang w:val="pl-PL"/>
              </w:rPr>
            </w:pPr>
            <w:bookmarkStart w:id="3" w:name="_Hlk159845910"/>
            <w:r w:rsidRPr="006731AC">
              <w:rPr>
                <w:b/>
                <w:bCs/>
                <w:sz w:val="20"/>
                <w:szCs w:val="20"/>
                <w:lang w:val="pl-PL"/>
              </w:rPr>
              <w:lastRenderedPageBreak/>
              <w:t>Modyfikacja dawkowania leków</w:t>
            </w:r>
          </w:p>
          <w:p w14:paraId="156E0BF0" w14:textId="11444E32" w:rsidR="00E73964" w:rsidRPr="006731AC" w:rsidRDefault="00E73964" w:rsidP="00E73964">
            <w:pPr>
              <w:pStyle w:val="TableParagraph"/>
              <w:tabs>
                <w:tab w:val="left" w:pos="426"/>
              </w:tabs>
              <w:spacing w:after="60" w:line="276" w:lineRule="auto"/>
              <w:ind w:left="0"/>
              <w:jc w:val="both"/>
              <w:rPr>
                <w:sz w:val="20"/>
                <w:szCs w:val="20"/>
                <w:lang w:val="pl-PL"/>
              </w:rPr>
            </w:pPr>
            <w:r w:rsidRPr="006731AC">
              <w:rPr>
                <w:sz w:val="20"/>
                <w:szCs w:val="20"/>
                <w:lang w:val="pl-PL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  <w:bookmarkEnd w:id="3"/>
          <w:p w14:paraId="33EEFD35" w14:textId="77777777" w:rsidR="00CA0696" w:rsidRPr="006731AC" w:rsidRDefault="00CA0696" w:rsidP="00303C40">
            <w:pPr>
              <w:pStyle w:val="TableParagraph"/>
              <w:tabs>
                <w:tab w:val="left" w:pos="426"/>
              </w:tabs>
              <w:spacing w:after="60" w:line="276" w:lineRule="auto"/>
              <w:ind w:left="0" w:right="93"/>
              <w:jc w:val="both"/>
              <w:rPr>
                <w:rFonts w:eastAsia="SimSun"/>
                <w:sz w:val="20"/>
                <w:szCs w:val="20"/>
                <w:lang w:val="pl-PL" w:eastAsia="zh-CN"/>
              </w:rPr>
            </w:pPr>
          </w:p>
          <w:p w14:paraId="254B40FE" w14:textId="1C61DEB5" w:rsidR="00CA0696" w:rsidRPr="006731AC" w:rsidRDefault="00CA0696" w:rsidP="00303C40">
            <w:pPr>
              <w:autoSpaceDN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320E" w14:textId="2135ADFA" w:rsidR="0026562F" w:rsidRPr="006731AC" w:rsidRDefault="0026562F" w:rsidP="00303C40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lastRenderedPageBreak/>
              <w:t>Badania</w:t>
            </w:r>
            <w:r w:rsidR="00A862A6" w:rsidRPr="006731A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6731A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przy</w:t>
            </w:r>
            <w:r w:rsidR="00A862A6" w:rsidRPr="006731A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6731A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kwalifikacji</w:t>
            </w:r>
          </w:p>
          <w:p w14:paraId="56639583" w14:textId="0195579A" w:rsidR="003E618B" w:rsidRPr="006731AC" w:rsidRDefault="00BA3747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>h</w:t>
            </w:r>
            <w:r w:rsidR="0026562F" w:rsidRPr="006731A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>istologicznie</w:t>
            </w:r>
            <w:r w:rsidR="00CD7BC8" w:rsidRPr="006731A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 xml:space="preserve"> </w:t>
            </w:r>
            <w:r w:rsidR="0026562F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potwierdzone</w:t>
            </w:r>
            <w:r w:rsidR="00A862A6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rozpoznanie</w:t>
            </w:r>
            <w:r w:rsidR="00A862A6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raka</w:t>
            </w:r>
            <w:r w:rsidR="00A862A6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gruczołu</w:t>
            </w:r>
            <w:r w:rsidR="00A862A6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krokowego;</w:t>
            </w:r>
          </w:p>
          <w:p w14:paraId="61CD59EC" w14:textId="27BCC1B5" w:rsidR="003E618B" w:rsidRPr="006731AC" w:rsidRDefault="00D61930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</w:t>
            </w:r>
            <w:r w:rsidR="00C90AA6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="006252F7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DE2FE6A" w14:textId="77777777" w:rsidR="003E618B" w:rsidRPr="006731AC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PSA;</w:t>
            </w:r>
          </w:p>
          <w:p w14:paraId="610ADE39" w14:textId="77777777" w:rsidR="003E618B" w:rsidRPr="006731AC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testosteronu;</w:t>
            </w:r>
          </w:p>
          <w:p w14:paraId="1F155772" w14:textId="77777777" w:rsidR="003E618B" w:rsidRPr="006731AC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kreatyniny</w:t>
            </w:r>
            <w:r w:rsidR="009061AA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061AA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(oraz wyliczenie </w:t>
            </w:r>
            <w:proofErr w:type="spellStart"/>
            <w:r w:rsidR="009061AA" w:rsidRPr="006731AC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="009061AA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kreatyniny)</w:t>
            </w:r>
            <w:r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FF64C90" w14:textId="55386397" w:rsidR="003E618B" w:rsidRPr="006731AC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bilirubiny</w:t>
            </w:r>
            <w:r w:rsidR="00C90AA6" w:rsidRPr="006731A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9770283" w14:textId="6F51821A" w:rsidR="003E618B" w:rsidRPr="006731AC" w:rsidRDefault="00733D0D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</w:t>
            </w:r>
            <w:r w:rsidR="00C90AA6" w:rsidRPr="006731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6252F7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2783C5" w14:textId="01C1D1C4" w:rsidR="00056031" w:rsidRPr="006731AC" w:rsidRDefault="00733D0D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="00C90AA6" w:rsidRPr="006731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E334491" w14:textId="7DC334F4" w:rsidR="00BE5454" w:rsidRPr="006731AC" w:rsidRDefault="00056031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860160" w:rsidRPr="006731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cyntygrafia kośćca</w:t>
            </w:r>
            <w:r w:rsidR="00603AEB" w:rsidRPr="006731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198FAA6" w14:textId="4ACB4ECD" w:rsidR="00444F53" w:rsidRPr="006731AC" w:rsidRDefault="00056031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860160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brazowanie (rentgenografia lub tomografia komputerowa lub rezonans magnetyczny</w:t>
            </w:r>
            <w:r w:rsidR="00FD09D1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860160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 zależności od sytuacji klinicznej</w:t>
            </w:r>
            <w:r w:rsidR="002D154C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)</w:t>
            </w:r>
            <w:r w:rsidR="00FE61C2" w:rsidRPr="006731A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5E1330EC" w14:textId="2BC4E5C3" w:rsidR="00444F53" w:rsidRPr="006731AC" w:rsidRDefault="00C324DB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tomografia komputerowa jamy brzusznej i miednicy</w:t>
            </w:r>
            <w:r w:rsidR="00603AEB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(w przypadku leczenia</w:t>
            </w:r>
            <w:r w:rsidR="007243BA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02AEC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apalutamidem</w:t>
            </w:r>
            <w:proofErr w:type="spellEnd"/>
            <w:r w:rsidR="00E02AEC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,</w:t>
            </w:r>
            <w:r w:rsidR="00EF14A9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F14A9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darolutamidem</w:t>
            </w:r>
            <w:proofErr w:type="spellEnd"/>
            <w:r w:rsidR="00EF14A9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,</w:t>
            </w:r>
            <w:r w:rsidR="007243BA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02AEC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enzalutamidem</w:t>
            </w:r>
            <w:proofErr w:type="spellEnd"/>
            <w:r w:rsidR="00EF14A9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E02AEC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chorych</w:t>
            </w:r>
            <w:r w:rsidR="00135F11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BC635B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na </w:t>
            </w:r>
            <w:proofErr w:type="spellStart"/>
            <w:r w:rsidR="00135F11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nm</w:t>
            </w:r>
            <w:r w:rsidR="00BC635B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CRPC</w:t>
            </w:r>
            <w:proofErr w:type="spellEnd"/>
            <w:r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)</w:t>
            </w:r>
            <w:r w:rsidR="00603AEB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;</w:t>
            </w:r>
          </w:p>
          <w:p w14:paraId="5E0C2F2F" w14:textId="49EA483E" w:rsidR="00444F53" w:rsidRPr="006731AC" w:rsidRDefault="00603AEB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rentgenografia </w:t>
            </w:r>
            <w:r w:rsidR="000B5942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lub tomografia komputerowa </w:t>
            </w: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klatki piersiowej </w:t>
            </w:r>
            <w:r w:rsidR="00E02AEC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="007243BA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02AEC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apalutamidem</w:t>
            </w:r>
            <w:proofErr w:type="spellEnd"/>
            <w:r w:rsidR="00E02AEC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500FFA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darolutamidem</w:t>
            </w:r>
            <w:proofErr w:type="spellEnd"/>
            <w:r w:rsidR="00500FFA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E02AEC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enzalutamidem</w:t>
            </w:r>
            <w:proofErr w:type="spellEnd"/>
            <w:r w:rsidR="00500FFA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E02AEC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chorych</w:t>
            </w:r>
            <w:r w:rsidR="00BC635B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na</w:t>
            </w:r>
            <w:r w:rsidR="00E02AEC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135F11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nm</w:t>
            </w:r>
            <w:r w:rsidR="00E02AEC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CRPC</w:t>
            </w:r>
            <w:proofErr w:type="spellEnd"/>
            <w:r w:rsidR="00E02AEC" w:rsidRPr="006731AC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);</w:t>
            </w:r>
          </w:p>
          <w:p w14:paraId="52C663B7" w14:textId="5E340628" w:rsidR="00B10952" w:rsidRPr="006731AC" w:rsidRDefault="00444F53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457B0" w:rsidRPr="006731AC">
              <w:rPr>
                <w:rFonts w:ascii="Times New Roman" w:hAnsi="Times New Roman" w:cs="Times New Roman"/>
                <w:sz w:val="20"/>
                <w:szCs w:val="20"/>
              </w:rPr>
              <w:t>nne badania w razie wskazań klinicznych.</w:t>
            </w:r>
          </w:p>
          <w:p w14:paraId="10319BB2" w14:textId="18F337CD" w:rsidR="000D3AFD" w:rsidRPr="006731AC" w:rsidRDefault="000D3AFD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Badania obrazowe </w:t>
            </w:r>
            <w:r w:rsidR="00BE5454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powinny być </w:t>
            </w: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wykonane w ciągu 3 miesięcy przed włączeniem do programu.</w:t>
            </w:r>
          </w:p>
          <w:p w14:paraId="0CFD3A5B" w14:textId="2CDCF9DF" w:rsidR="00895DD1" w:rsidRPr="006731AC" w:rsidRDefault="00895DD1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Wstępne badania obrazowe musz</w:t>
            </w:r>
            <w:r w:rsidR="00D61930" w:rsidRPr="006731AC">
              <w:rPr>
                <w:rFonts w:ascii="Times New Roman" w:hAnsi="Times New Roman" w:cs="Times New Roman"/>
                <w:sz w:val="20"/>
                <w:szCs w:val="20"/>
              </w:rPr>
              <w:t>ą umożliwiać późniejszą obiektywną ocenę odpowiedzi na leczenie wg aktualnych kryteriów RECIST</w:t>
            </w:r>
            <w:r w:rsidR="00BE5454" w:rsidRPr="006731AC">
              <w:rPr>
                <w:rFonts w:ascii="Times New Roman" w:hAnsi="Times New Roman" w:cs="Times New Roman"/>
                <w:sz w:val="20"/>
                <w:szCs w:val="20"/>
              </w:rPr>
              <w:t xml:space="preserve"> lub PCWG</w:t>
            </w:r>
            <w:r w:rsidR="00D61930" w:rsidRPr="006731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C0C713" w14:textId="77777777" w:rsidR="00ED0B17" w:rsidRPr="006731AC" w:rsidRDefault="00ED0B17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46A3BE" w14:textId="6EE5E652" w:rsidR="00DA7AD1" w:rsidRPr="006731AC" w:rsidRDefault="0026562F" w:rsidP="00303C40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</w:t>
            </w:r>
            <w:r w:rsidR="00A862A6" w:rsidRPr="006731A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6731A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leczenia</w:t>
            </w:r>
          </w:p>
          <w:p w14:paraId="36D03D8D" w14:textId="5B08A9DE" w:rsidR="007243BA" w:rsidRPr="006731AC" w:rsidRDefault="007243BA" w:rsidP="00814B09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2.1. Monitorowanie bezpieczeństwa</w:t>
            </w:r>
          </w:p>
          <w:p w14:paraId="428706B5" w14:textId="3A87ED5C" w:rsidR="00877F06" w:rsidRPr="006731AC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 (</w:t>
            </w:r>
            <w:r w:rsidR="0057699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kabazytaksel</w:t>
            </w:r>
            <w:r w:rsidR="0057699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</w:t>
            </w:r>
            <w:r w:rsidR="0057699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="007243BA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07274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1192173" w14:textId="47D5C53E" w:rsidR="00877F06" w:rsidRPr="006731AC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bilirubiny (</w:t>
            </w:r>
            <w:r w:rsidR="0057699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kabazytaksel</w:t>
            </w:r>
            <w:r w:rsidR="0057699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04277E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C250E7F" w14:textId="1DD35925" w:rsidR="00877F06" w:rsidRPr="006731AC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aktywności aminotransferazy alaninowej (</w:t>
            </w:r>
            <w:r w:rsidR="0057699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kabazytaksel</w:t>
            </w:r>
            <w:r w:rsidR="0057699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="006252F7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14:paraId="44A9F02F" w14:textId="2876AA44" w:rsidR="00877F06" w:rsidRPr="006731AC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oznaczenie aktywności aminotransferazy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asparaginianowej</w:t>
            </w:r>
            <w:proofErr w:type="spellEnd"/>
            <w:r w:rsidR="006252F7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57699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kabazytaksel</w:t>
            </w:r>
            <w:r w:rsidR="0057699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="006252F7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14:paraId="3D0873CE" w14:textId="47B71879" w:rsidR="00BE4901" w:rsidRPr="006731AC" w:rsidRDefault="00BE4901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oznaczenie stężenia kreatyniny i wyliczenie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klirensu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kreatyniny (</w:t>
            </w:r>
            <w:r w:rsidR="0057699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</w:t>
            </w:r>
            <w:r w:rsidR="00576993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14:paraId="5DADBD6A" w14:textId="77777777" w:rsidR="001B35D2" w:rsidRPr="006731AC" w:rsidRDefault="001B35D2" w:rsidP="001B35D2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Badania laboratoryjne wykonuje się:</w:t>
            </w:r>
          </w:p>
          <w:p w14:paraId="6D4882B7" w14:textId="77777777" w:rsidR="001B35D2" w:rsidRPr="006731AC" w:rsidRDefault="001B35D2" w:rsidP="001B35D2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badania krwi regularnie co 2-3 miesiące, również przy braku wskazań klinicznych;</w:t>
            </w:r>
          </w:p>
          <w:p w14:paraId="11CBA650" w14:textId="77777777" w:rsidR="001B35D2" w:rsidRPr="006731AC" w:rsidRDefault="001B35D2" w:rsidP="001B35D2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przed podaniem każdej dawki leku w przypadku leczenia </w:t>
            </w:r>
            <w:proofErr w:type="spellStart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kabazytakselem</w:t>
            </w:r>
            <w:proofErr w:type="spellEnd"/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B7FA0B" w14:textId="77777777" w:rsidR="001B35D2" w:rsidRPr="006731AC" w:rsidRDefault="001B35D2" w:rsidP="001B35D2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morfologia krwi z rozmazem, oznaczenie stężenia kreatyniny i wyliczenie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klirensu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kreatyniny nie rzadziej niż co 1 miesiąc (w przypadku leczenia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olaparybem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).</w:t>
            </w:r>
          </w:p>
          <w:p w14:paraId="40CC2A27" w14:textId="77777777" w:rsidR="001B35D2" w:rsidRPr="006731AC" w:rsidRDefault="001B35D2" w:rsidP="00814B0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46A2650B" w14:textId="0A168507" w:rsidR="001B35D2" w:rsidRPr="006731AC" w:rsidRDefault="001B35D2" w:rsidP="00814B09">
            <w:pPr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2.2. Monitorowanie skuteczności</w:t>
            </w:r>
          </w:p>
          <w:p w14:paraId="5446CD88" w14:textId="597CA932" w:rsidR="00877F06" w:rsidRPr="006731AC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PSA, nie rzadziej niż co 3 miesiące,</w:t>
            </w:r>
            <w:r w:rsidR="00475788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 w przypadku wskazań klinicznych decyzją lekarza kolejne oznaczenia mogą być wykonywane częściej;</w:t>
            </w:r>
          </w:p>
          <w:p w14:paraId="3B47CE65" w14:textId="632EF206" w:rsidR="00877F06" w:rsidRPr="006731AC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badania obrazowe (</w:t>
            </w:r>
            <w:r w:rsidR="00CD7BC8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RTG/</w:t>
            </w: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TK/MR) w zależności od badania wykonanego przy kwalifikacji, nie rzadziej niż co 6 miesięcy;</w:t>
            </w:r>
          </w:p>
          <w:p w14:paraId="4CC5D96C" w14:textId="1B07B137" w:rsidR="00877F06" w:rsidRPr="006731AC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 nie rzadziej niż co 6 miesięcy</w:t>
            </w:r>
            <w:r w:rsidR="00CD7BC8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D32F12E" w14:textId="72573B43" w:rsidR="00877F06" w:rsidRPr="006731AC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inne badania w zależności od sytuacji klinicznej</w:t>
            </w:r>
            <w:r w:rsidR="00303C40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0D124116" w14:textId="59F06937" w:rsidR="00ED0B17" w:rsidRPr="006731AC" w:rsidRDefault="00D52694" w:rsidP="00303C40">
            <w:pPr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Badania oceniające odpowiedź powinny być wykonywane zawsze przy klinicznym podejrzeniu progresji</w:t>
            </w:r>
            <w:r w:rsidR="005E5777"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11F93021" w14:textId="77777777" w:rsidR="007243BA" w:rsidRPr="006731AC" w:rsidRDefault="007243BA" w:rsidP="00814B09">
            <w:pPr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 podstawie ww. badań w celu monitorowania skuteczności leczenia przekazywane są dane dotyczące wybranych wskaźników skuteczności terapii, dla których jest możliwe ich określenie przez lekarza prowadzącego dla indywidualnego pacjenta, spośród:</w:t>
            </w:r>
          </w:p>
          <w:p w14:paraId="1FB82A39" w14:textId="77777777" w:rsidR="007243BA" w:rsidRPr="006731AC" w:rsidRDefault="007243BA" w:rsidP="0007274E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całkowita odpowiedź (CR),</w:t>
            </w:r>
          </w:p>
          <w:p w14:paraId="77388413" w14:textId="77777777" w:rsidR="007243BA" w:rsidRPr="006731AC" w:rsidRDefault="007243BA" w:rsidP="0007274E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częściowa odpowiedź (PR) albo 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nonCR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nonPD</w:t>
            </w:r>
            <w:proofErr w:type="spellEnd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4E2FD605" w14:textId="0BA9BF43" w:rsidR="007243BA" w:rsidRPr="006731AC" w:rsidRDefault="007243BA" w:rsidP="0007274E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stabilizacja (SD) albo non/CR/</w:t>
            </w:r>
            <w:proofErr w:type="spellStart"/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nonPD</w:t>
            </w:r>
            <w:proofErr w:type="spellEnd"/>
            <w:r w:rsidR="0007274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1C32673E" w14:textId="77777777" w:rsidR="007243BA" w:rsidRPr="006731AC" w:rsidRDefault="007243BA" w:rsidP="0007274E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progresja (PD),</w:t>
            </w:r>
          </w:p>
          <w:p w14:paraId="54AF7ECD" w14:textId="77777777" w:rsidR="007243BA" w:rsidRPr="006731AC" w:rsidRDefault="007243BA" w:rsidP="0007274E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całkowite przeżycie (OS) albo czas wolny od progresji (PFS).</w:t>
            </w:r>
          </w:p>
          <w:p w14:paraId="6F3C9B41" w14:textId="77777777" w:rsidR="003E618B" w:rsidRPr="006731AC" w:rsidRDefault="003E618B" w:rsidP="00814B09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14:paraId="07D5C944" w14:textId="5AD58532" w:rsidR="0026562F" w:rsidRPr="006731AC" w:rsidRDefault="0026562F" w:rsidP="00814B09">
            <w:pPr>
              <w:pStyle w:val="Akapitzlist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731A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</w:t>
            </w:r>
            <w:r w:rsidR="00A862A6" w:rsidRPr="006731A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6731A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programu</w:t>
            </w:r>
          </w:p>
          <w:p w14:paraId="7C8B6F83" w14:textId="77777777" w:rsidR="00CD7BC8" w:rsidRPr="006731AC" w:rsidRDefault="00CD7BC8" w:rsidP="00814B09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2671A91B" w14:textId="4C7A8B1C" w:rsidR="007243BA" w:rsidRPr="006731AC" w:rsidRDefault="007243BA" w:rsidP="00814B09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uzupełnianie danych zawartych w elektronicznym systemie monitorowania programów lekowych, w tym przekazywanie danych dotyczących wskaźników skuteczności terapii zawartych w pkt. 2.2 dostępnym za pomocą aplikacji internetowej udostępnionej przez OW NFZ, z częstotliwością zgodną z opisem programu oraz na zakończenie leczenia;</w:t>
            </w:r>
          </w:p>
          <w:p w14:paraId="57F47187" w14:textId="6EAAB86A" w:rsidR="00CD7BC8" w:rsidRPr="006731AC" w:rsidRDefault="00CD7BC8" w:rsidP="00814B09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AC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 zgodnie z wymaganiami opublikowanymi przez NFZ.</w:t>
            </w:r>
          </w:p>
          <w:p w14:paraId="76556F78" w14:textId="418F2C67" w:rsidR="00491560" w:rsidRPr="00303C40" w:rsidRDefault="00491560" w:rsidP="00303C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5C623218" w14:textId="77777777" w:rsidR="00A06AAE" w:rsidRPr="002B71D5" w:rsidRDefault="00A06AAE" w:rsidP="00B47AD3">
      <w:pPr>
        <w:jc w:val="both"/>
        <w:rPr>
          <w:sz w:val="2"/>
          <w:szCs w:val="2"/>
        </w:rPr>
      </w:pPr>
    </w:p>
    <w:sectPr w:rsidR="00A06AAE" w:rsidRPr="002B71D5" w:rsidSect="00BF3005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993C5" w14:textId="77777777" w:rsidR="00BF3005" w:rsidRDefault="00BF3005">
      <w:pPr>
        <w:spacing w:after="0" w:line="240" w:lineRule="auto"/>
      </w:pPr>
      <w:r>
        <w:separator/>
      </w:r>
    </w:p>
  </w:endnote>
  <w:endnote w:type="continuationSeparator" w:id="0">
    <w:p w14:paraId="1F40132F" w14:textId="77777777" w:rsidR="00BF3005" w:rsidRDefault="00BF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2F2EF" w14:textId="77777777" w:rsidR="00BF3005" w:rsidRDefault="00BF3005">
      <w:pPr>
        <w:spacing w:after="0" w:line="240" w:lineRule="auto"/>
      </w:pPr>
      <w:r>
        <w:separator/>
      </w:r>
    </w:p>
  </w:footnote>
  <w:footnote w:type="continuationSeparator" w:id="0">
    <w:p w14:paraId="3FA17438" w14:textId="77777777" w:rsidR="00BF3005" w:rsidRDefault="00BF3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71D6E"/>
    <w:multiLevelType w:val="hybridMultilevel"/>
    <w:tmpl w:val="10F023C0"/>
    <w:lvl w:ilvl="0" w:tplc="A2646A7C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576EA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4BAD693D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59A90491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5DD21ECD"/>
    <w:multiLevelType w:val="hybridMultilevel"/>
    <w:tmpl w:val="C8E6B36A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6B0733D4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751D22EB"/>
    <w:multiLevelType w:val="multilevel"/>
    <w:tmpl w:val="7304F10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79A44EFD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7B7E6FD9"/>
    <w:multiLevelType w:val="hybridMultilevel"/>
    <w:tmpl w:val="CD6C64E2"/>
    <w:lvl w:ilvl="0" w:tplc="46A2401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57264962">
    <w:abstractNumId w:val="2"/>
  </w:num>
  <w:num w:numId="2" w16cid:durableId="1581063842">
    <w:abstractNumId w:val="3"/>
  </w:num>
  <w:num w:numId="3" w16cid:durableId="1200821174">
    <w:abstractNumId w:val="1"/>
  </w:num>
  <w:num w:numId="4" w16cid:durableId="455874331">
    <w:abstractNumId w:val="5"/>
  </w:num>
  <w:num w:numId="5" w16cid:durableId="719864031">
    <w:abstractNumId w:val="4"/>
  </w:num>
  <w:num w:numId="6" w16cid:durableId="1858080902">
    <w:abstractNumId w:val="0"/>
  </w:num>
  <w:num w:numId="7" w16cid:durableId="1404252016">
    <w:abstractNumId w:val="8"/>
  </w:num>
  <w:num w:numId="8" w16cid:durableId="35399182">
    <w:abstractNumId w:val="7"/>
  </w:num>
  <w:num w:numId="9" w16cid:durableId="167236489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560"/>
    <w:rsid w:val="00004013"/>
    <w:rsid w:val="00004151"/>
    <w:rsid w:val="00005880"/>
    <w:rsid w:val="00006A15"/>
    <w:rsid w:val="000153AC"/>
    <w:rsid w:val="00016CEF"/>
    <w:rsid w:val="00017DA7"/>
    <w:rsid w:val="00030447"/>
    <w:rsid w:val="00031C3D"/>
    <w:rsid w:val="00032373"/>
    <w:rsid w:val="00032A01"/>
    <w:rsid w:val="00032E20"/>
    <w:rsid w:val="00035F13"/>
    <w:rsid w:val="00036005"/>
    <w:rsid w:val="000362B4"/>
    <w:rsid w:val="0004148E"/>
    <w:rsid w:val="0004277E"/>
    <w:rsid w:val="000432BE"/>
    <w:rsid w:val="000436A2"/>
    <w:rsid w:val="0004423A"/>
    <w:rsid w:val="00045006"/>
    <w:rsid w:val="00046BC9"/>
    <w:rsid w:val="000530A5"/>
    <w:rsid w:val="000549C2"/>
    <w:rsid w:val="000554E5"/>
    <w:rsid w:val="00055A75"/>
    <w:rsid w:val="00056031"/>
    <w:rsid w:val="00060064"/>
    <w:rsid w:val="000632C9"/>
    <w:rsid w:val="00065870"/>
    <w:rsid w:val="00067075"/>
    <w:rsid w:val="00070DB6"/>
    <w:rsid w:val="00072340"/>
    <w:rsid w:val="0007274E"/>
    <w:rsid w:val="00077259"/>
    <w:rsid w:val="00081611"/>
    <w:rsid w:val="00081BD9"/>
    <w:rsid w:val="00083175"/>
    <w:rsid w:val="00083289"/>
    <w:rsid w:val="00083719"/>
    <w:rsid w:val="00083F5F"/>
    <w:rsid w:val="0008541A"/>
    <w:rsid w:val="00085E89"/>
    <w:rsid w:val="000871A6"/>
    <w:rsid w:val="00090EC6"/>
    <w:rsid w:val="00095981"/>
    <w:rsid w:val="00095B9D"/>
    <w:rsid w:val="00095F4B"/>
    <w:rsid w:val="0009679D"/>
    <w:rsid w:val="000968B7"/>
    <w:rsid w:val="000A3FB2"/>
    <w:rsid w:val="000A456C"/>
    <w:rsid w:val="000A507C"/>
    <w:rsid w:val="000A5FB6"/>
    <w:rsid w:val="000A626B"/>
    <w:rsid w:val="000A6D83"/>
    <w:rsid w:val="000B2405"/>
    <w:rsid w:val="000B33A5"/>
    <w:rsid w:val="000B3D34"/>
    <w:rsid w:val="000B4003"/>
    <w:rsid w:val="000B57E7"/>
    <w:rsid w:val="000B5942"/>
    <w:rsid w:val="000B6E0C"/>
    <w:rsid w:val="000B74CB"/>
    <w:rsid w:val="000C4336"/>
    <w:rsid w:val="000C5476"/>
    <w:rsid w:val="000C5D0D"/>
    <w:rsid w:val="000D0532"/>
    <w:rsid w:val="000D1537"/>
    <w:rsid w:val="000D1AC1"/>
    <w:rsid w:val="000D3AFD"/>
    <w:rsid w:val="000D62D3"/>
    <w:rsid w:val="000D6C5B"/>
    <w:rsid w:val="000D6E31"/>
    <w:rsid w:val="000D7C1E"/>
    <w:rsid w:val="000E46F4"/>
    <w:rsid w:val="000F0412"/>
    <w:rsid w:val="000F2B9B"/>
    <w:rsid w:val="000F6688"/>
    <w:rsid w:val="000F68FE"/>
    <w:rsid w:val="000F6A88"/>
    <w:rsid w:val="00100F5E"/>
    <w:rsid w:val="001029B3"/>
    <w:rsid w:val="00104142"/>
    <w:rsid w:val="00104B0B"/>
    <w:rsid w:val="00104DC7"/>
    <w:rsid w:val="00105A4E"/>
    <w:rsid w:val="0010600E"/>
    <w:rsid w:val="0010749C"/>
    <w:rsid w:val="00115F9E"/>
    <w:rsid w:val="00122C86"/>
    <w:rsid w:val="00123689"/>
    <w:rsid w:val="0012638D"/>
    <w:rsid w:val="0012779C"/>
    <w:rsid w:val="0012787C"/>
    <w:rsid w:val="001303DC"/>
    <w:rsid w:val="001332C2"/>
    <w:rsid w:val="00133C8D"/>
    <w:rsid w:val="0013513C"/>
    <w:rsid w:val="00135F11"/>
    <w:rsid w:val="00136762"/>
    <w:rsid w:val="00141E98"/>
    <w:rsid w:val="0014301C"/>
    <w:rsid w:val="0014331D"/>
    <w:rsid w:val="00145274"/>
    <w:rsid w:val="00150FCF"/>
    <w:rsid w:val="00151B72"/>
    <w:rsid w:val="00151BE1"/>
    <w:rsid w:val="00151D9E"/>
    <w:rsid w:val="00154E29"/>
    <w:rsid w:val="001559E7"/>
    <w:rsid w:val="00155EC0"/>
    <w:rsid w:val="001567EA"/>
    <w:rsid w:val="001578E7"/>
    <w:rsid w:val="00157C65"/>
    <w:rsid w:val="001605D7"/>
    <w:rsid w:val="00161D82"/>
    <w:rsid w:val="001626A4"/>
    <w:rsid w:val="0016374A"/>
    <w:rsid w:val="00164A8D"/>
    <w:rsid w:val="00165523"/>
    <w:rsid w:val="0017211B"/>
    <w:rsid w:val="00172F33"/>
    <w:rsid w:val="00173D3F"/>
    <w:rsid w:val="00176AE3"/>
    <w:rsid w:val="00177493"/>
    <w:rsid w:val="0018076B"/>
    <w:rsid w:val="00180D1A"/>
    <w:rsid w:val="00182A3C"/>
    <w:rsid w:val="001844BC"/>
    <w:rsid w:val="001869D7"/>
    <w:rsid w:val="0018752D"/>
    <w:rsid w:val="00187814"/>
    <w:rsid w:val="001901F5"/>
    <w:rsid w:val="00190461"/>
    <w:rsid w:val="0019197B"/>
    <w:rsid w:val="001939DF"/>
    <w:rsid w:val="00194617"/>
    <w:rsid w:val="001946CB"/>
    <w:rsid w:val="001964C4"/>
    <w:rsid w:val="00197005"/>
    <w:rsid w:val="001A18DE"/>
    <w:rsid w:val="001A2596"/>
    <w:rsid w:val="001A5237"/>
    <w:rsid w:val="001A630D"/>
    <w:rsid w:val="001A7D5A"/>
    <w:rsid w:val="001B0E04"/>
    <w:rsid w:val="001B35D2"/>
    <w:rsid w:val="001B68C0"/>
    <w:rsid w:val="001B76C5"/>
    <w:rsid w:val="001C004F"/>
    <w:rsid w:val="001C02C0"/>
    <w:rsid w:val="001C15A6"/>
    <w:rsid w:val="001C3932"/>
    <w:rsid w:val="001C4395"/>
    <w:rsid w:val="001C5F43"/>
    <w:rsid w:val="001C75D8"/>
    <w:rsid w:val="001D1B35"/>
    <w:rsid w:val="001D38F9"/>
    <w:rsid w:val="001D57D1"/>
    <w:rsid w:val="001D6DFB"/>
    <w:rsid w:val="001E0E54"/>
    <w:rsid w:val="001E1CA9"/>
    <w:rsid w:val="001E2C43"/>
    <w:rsid w:val="001E417E"/>
    <w:rsid w:val="001E68A8"/>
    <w:rsid w:val="001F51D5"/>
    <w:rsid w:val="001F5D94"/>
    <w:rsid w:val="001F712D"/>
    <w:rsid w:val="00200550"/>
    <w:rsid w:val="002038A1"/>
    <w:rsid w:val="00204A52"/>
    <w:rsid w:val="00204A6A"/>
    <w:rsid w:val="00205573"/>
    <w:rsid w:val="00205686"/>
    <w:rsid w:val="00205FBF"/>
    <w:rsid w:val="00212005"/>
    <w:rsid w:val="00212807"/>
    <w:rsid w:val="002132F5"/>
    <w:rsid w:val="00214A0B"/>
    <w:rsid w:val="00214F80"/>
    <w:rsid w:val="00215AC8"/>
    <w:rsid w:val="00220AAE"/>
    <w:rsid w:val="00220BF7"/>
    <w:rsid w:val="00226E3C"/>
    <w:rsid w:val="00227946"/>
    <w:rsid w:val="00232774"/>
    <w:rsid w:val="00233DFF"/>
    <w:rsid w:val="00233F4E"/>
    <w:rsid w:val="00235485"/>
    <w:rsid w:val="00235DE9"/>
    <w:rsid w:val="00237BDE"/>
    <w:rsid w:val="00237D3C"/>
    <w:rsid w:val="00240088"/>
    <w:rsid w:val="00243D79"/>
    <w:rsid w:val="00243E4E"/>
    <w:rsid w:val="00245C46"/>
    <w:rsid w:val="002467A0"/>
    <w:rsid w:val="00246D05"/>
    <w:rsid w:val="00251F3F"/>
    <w:rsid w:val="00251FC9"/>
    <w:rsid w:val="00252958"/>
    <w:rsid w:val="002551D7"/>
    <w:rsid w:val="0025617D"/>
    <w:rsid w:val="002626B6"/>
    <w:rsid w:val="002635D6"/>
    <w:rsid w:val="0026562F"/>
    <w:rsid w:val="002729FF"/>
    <w:rsid w:val="00276019"/>
    <w:rsid w:val="002764D7"/>
    <w:rsid w:val="00276920"/>
    <w:rsid w:val="0028330F"/>
    <w:rsid w:val="00286939"/>
    <w:rsid w:val="00290805"/>
    <w:rsid w:val="002908D9"/>
    <w:rsid w:val="00294480"/>
    <w:rsid w:val="00294C06"/>
    <w:rsid w:val="00296F57"/>
    <w:rsid w:val="002A35BE"/>
    <w:rsid w:val="002A6F15"/>
    <w:rsid w:val="002A7745"/>
    <w:rsid w:val="002A77C9"/>
    <w:rsid w:val="002B2709"/>
    <w:rsid w:val="002B3AD8"/>
    <w:rsid w:val="002B3DCB"/>
    <w:rsid w:val="002B48F6"/>
    <w:rsid w:val="002B625C"/>
    <w:rsid w:val="002B71D5"/>
    <w:rsid w:val="002B796C"/>
    <w:rsid w:val="002B7F76"/>
    <w:rsid w:val="002C1D65"/>
    <w:rsid w:val="002C6246"/>
    <w:rsid w:val="002C6358"/>
    <w:rsid w:val="002C7612"/>
    <w:rsid w:val="002C7911"/>
    <w:rsid w:val="002C7AF5"/>
    <w:rsid w:val="002D0C00"/>
    <w:rsid w:val="002D154C"/>
    <w:rsid w:val="002D1EC1"/>
    <w:rsid w:val="002D2655"/>
    <w:rsid w:val="002D5B3D"/>
    <w:rsid w:val="002D614C"/>
    <w:rsid w:val="002D7748"/>
    <w:rsid w:val="002E2FAA"/>
    <w:rsid w:val="002E3FC5"/>
    <w:rsid w:val="002E4F9E"/>
    <w:rsid w:val="002F04FC"/>
    <w:rsid w:val="002F07E6"/>
    <w:rsid w:val="002F2036"/>
    <w:rsid w:val="002F2C20"/>
    <w:rsid w:val="002F2E13"/>
    <w:rsid w:val="002F4BBC"/>
    <w:rsid w:val="002F4D43"/>
    <w:rsid w:val="002F5B4E"/>
    <w:rsid w:val="002F5FEE"/>
    <w:rsid w:val="002F615D"/>
    <w:rsid w:val="00301498"/>
    <w:rsid w:val="00303C40"/>
    <w:rsid w:val="003055B5"/>
    <w:rsid w:val="003060C6"/>
    <w:rsid w:val="00313770"/>
    <w:rsid w:val="00313993"/>
    <w:rsid w:val="00317350"/>
    <w:rsid w:val="00317F56"/>
    <w:rsid w:val="0032025F"/>
    <w:rsid w:val="00323350"/>
    <w:rsid w:val="00323A57"/>
    <w:rsid w:val="00323E9A"/>
    <w:rsid w:val="003256BC"/>
    <w:rsid w:val="00327285"/>
    <w:rsid w:val="003278F7"/>
    <w:rsid w:val="00327A30"/>
    <w:rsid w:val="00327C66"/>
    <w:rsid w:val="00330875"/>
    <w:rsid w:val="00332918"/>
    <w:rsid w:val="00337F17"/>
    <w:rsid w:val="00341E3E"/>
    <w:rsid w:val="00342539"/>
    <w:rsid w:val="00347E5F"/>
    <w:rsid w:val="003506F9"/>
    <w:rsid w:val="00350E4B"/>
    <w:rsid w:val="00354A60"/>
    <w:rsid w:val="003561C9"/>
    <w:rsid w:val="00357144"/>
    <w:rsid w:val="00360660"/>
    <w:rsid w:val="00362C4C"/>
    <w:rsid w:val="0036424B"/>
    <w:rsid w:val="0036594A"/>
    <w:rsid w:val="00371D5F"/>
    <w:rsid w:val="0037282D"/>
    <w:rsid w:val="00374294"/>
    <w:rsid w:val="00375A8B"/>
    <w:rsid w:val="003771C8"/>
    <w:rsid w:val="00384586"/>
    <w:rsid w:val="003873A0"/>
    <w:rsid w:val="0038741E"/>
    <w:rsid w:val="00391F75"/>
    <w:rsid w:val="003940BD"/>
    <w:rsid w:val="003A0CB6"/>
    <w:rsid w:val="003A268F"/>
    <w:rsid w:val="003A2BBB"/>
    <w:rsid w:val="003A3748"/>
    <w:rsid w:val="003A6A07"/>
    <w:rsid w:val="003B08FA"/>
    <w:rsid w:val="003B0CEA"/>
    <w:rsid w:val="003B2D8A"/>
    <w:rsid w:val="003B4B08"/>
    <w:rsid w:val="003B5738"/>
    <w:rsid w:val="003B6E3F"/>
    <w:rsid w:val="003B7875"/>
    <w:rsid w:val="003C1C8E"/>
    <w:rsid w:val="003C1E8E"/>
    <w:rsid w:val="003C23A2"/>
    <w:rsid w:val="003C3434"/>
    <w:rsid w:val="003C78A7"/>
    <w:rsid w:val="003C7FCA"/>
    <w:rsid w:val="003D088B"/>
    <w:rsid w:val="003D40FF"/>
    <w:rsid w:val="003D420B"/>
    <w:rsid w:val="003D42A0"/>
    <w:rsid w:val="003D5ACA"/>
    <w:rsid w:val="003D6615"/>
    <w:rsid w:val="003E058D"/>
    <w:rsid w:val="003E1610"/>
    <w:rsid w:val="003E4E19"/>
    <w:rsid w:val="003E4FF6"/>
    <w:rsid w:val="003E526F"/>
    <w:rsid w:val="003E569D"/>
    <w:rsid w:val="003E618B"/>
    <w:rsid w:val="003E6A68"/>
    <w:rsid w:val="003F2DFB"/>
    <w:rsid w:val="003F3217"/>
    <w:rsid w:val="003F6E02"/>
    <w:rsid w:val="003F7B97"/>
    <w:rsid w:val="0040223A"/>
    <w:rsid w:val="00405B38"/>
    <w:rsid w:val="00406378"/>
    <w:rsid w:val="00410E52"/>
    <w:rsid w:val="00411A46"/>
    <w:rsid w:val="00411C59"/>
    <w:rsid w:val="00412682"/>
    <w:rsid w:val="004143E9"/>
    <w:rsid w:val="0041488B"/>
    <w:rsid w:val="00414E26"/>
    <w:rsid w:val="0041545F"/>
    <w:rsid w:val="00415679"/>
    <w:rsid w:val="00415AE9"/>
    <w:rsid w:val="004178CD"/>
    <w:rsid w:val="0042026E"/>
    <w:rsid w:val="00421391"/>
    <w:rsid w:val="0042455C"/>
    <w:rsid w:val="00427630"/>
    <w:rsid w:val="00427C49"/>
    <w:rsid w:val="00431FF1"/>
    <w:rsid w:val="004348F0"/>
    <w:rsid w:val="00436450"/>
    <w:rsid w:val="0043709E"/>
    <w:rsid w:val="00437501"/>
    <w:rsid w:val="00441B2E"/>
    <w:rsid w:val="00441EEE"/>
    <w:rsid w:val="004444A6"/>
    <w:rsid w:val="00444F53"/>
    <w:rsid w:val="004459BA"/>
    <w:rsid w:val="00445C80"/>
    <w:rsid w:val="00447C42"/>
    <w:rsid w:val="004506CC"/>
    <w:rsid w:val="0045168A"/>
    <w:rsid w:val="00451BE5"/>
    <w:rsid w:val="00452151"/>
    <w:rsid w:val="00453DA4"/>
    <w:rsid w:val="0046215C"/>
    <w:rsid w:val="00462310"/>
    <w:rsid w:val="00466FFE"/>
    <w:rsid w:val="00470824"/>
    <w:rsid w:val="00470AF8"/>
    <w:rsid w:val="00473521"/>
    <w:rsid w:val="00474501"/>
    <w:rsid w:val="004746AD"/>
    <w:rsid w:val="00474B9F"/>
    <w:rsid w:val="00474E5F"/>
    <w:rsid w:val="00475788"/>
    <w:rsid w:val="00476EE8"/>
    <w:rsid w:val="00477850"/>
    <w:rsid w:val="00480777"/>
    <w:rsid w:val="00480813"/>
    <w:rsid w:val="00483644"/>
    <w:rsid w:val="00484096"/>
    <w:rsid w:val="00484D2A"/>
    <w:rsid w:val="00485E6B"/>
    <w:rsid w:val="00486368"/>
    <w:rsid w:val="00486C7A"/>
    <w:rsid w:val="00491560"/>
    <w:rsid w:val="004943AE"/>
    <w:rsid w:val="00494BBB"/>
    <w:rsid w:val="0049710C"/>
    <w:rsid w:val="004A00CC"/>
    <w:rsid w:val="004A0318"/>
    <w:rsid w:val="004A1B03"/>
    <w:rsid w:val="004A2662"/>
    <w:rsid w:val="004A2684"/>
    <w:rsid w:val="004B0596"/>
    <w:rsid w:val="004B11B4"/>
    <w:rsid w:val="004B2778"/>
    <w:rsid w:val="004B2A4F"/>
    <w:rsid w:val="004B324A"/>
    <w:rsid w:val="004B64F8"/>
    <w:rsid w:val="004B6BBF"/>
    <w:rsid w:val="004C0A77"/>
    <w:rsid w:val="004C1FAA"/>
    <w:rsid w:val="004C226C"/>
    <w:rsid w:val="004C2A43"/>
    <w:rsid w:val="004C6726"/>
    <w:rsid w:val="004D018C"/>
    <w:rsid w:val="004D1295"/>
    <w:rsid w:val="004D1730"/>
    <w:rsid w:val="004D2004"/>
    <w:rsid w:val="004D3E05"/>
    <w:rsid w:val="004D441C"/>
    <w:rsid w:val="004D6CDA"/>
    <w:rsid w:val="004D7B0F"/>
    <w:rsid w:val="004E0F5E"/>
    <w:rsid w:val="004E13E1"/>
    <w:rsid w:val="004E18C7"/>
    <w:rsid w:val="004E2647"/>
    <w:rsid w:val="004E27BF"/>
    <w:rsid w:val="004E3D4D"/>
    <w:rsid w:val="004E5E88"/>
    <w:rsid w:val="004E7A70"/>
    <w:rsid w:val="004F113C"/>
    <w:rsid w:val="004F155F"/>
    <w:rsid w:val="004F1742"/>
    <w:rsid w:val="004F2D17"/>
    <w:rsid w:val="004F6FC4"/>
    <w:rsid w:val="00500FFA"/>
    <w:rsid w:val="00505604"/>
    <w:rsid w:val="005111C8"/>
    <w:rsid w:val="0051281D"/>
    <w:rsid w:val="00512C4C"/>
    <w:rsid w:val="00520C14"/>
    <w:rsid w:val="00525E02"/>
    <w:rsid w:val="00526B07"/>
    <w:rsid w:val="005274B3"/>
    <w:rsid w:val="00531567"/>
    <w:rsid w:val="00534681"/>
    <w:rsid w:val="00534AC9"/>
    <w:rsid w:val="00541665"/>
    <w:rsid w:val="00541E1B"/>
    <w:rsid w:val="00547C39"/>
    <w:rsid w:val="005513D8"/>
    <w:rsid w:val="005574B7"/>
    <w:rsid w:val="00557B9D"/>
    <w:rsid w:val="00560713"/>
    <w:rsid w:val="0056360A"/>
    <w:rsid w:val="00563639"/>
    <w:rsid w:val="0056739C"/>
    <w:rsid w:val="005707D9"/>
    <w:rsid w:val="00570DA0"/>
    <w:rsid w:val="00570FDF"/>
    <w:rsid w:val="00572065"/>
    <w:rsid w:val="0057445A"/>
    <w:rsid w:val="005768A3"/>
    <w:rsid w:val="00576993"/>
    <w:rsid w:val="00576CE6"/>
    <w:rsid w:val="00581EF0"/>
    <w:rsid w:val="00583F62"/>
    <w:rsid w:val="00584F62"/>
    <w:rsid w:val="00585E0B"/>
    <w:rsid w:val="00594666"/>
    <w:rsid w:val="00594BF5"/>
    <w:rsid w:val="005A1106"/>
    <w:rsid w:val="005A14B6"/>
    <w:rsid w:val="005A223E"/>
    <w:rsid w:val="005A28E7"/>
    <w:rsid w:val="005A5206"/>
    <w:rsid w:val="005A6322"/>
    <w:rsid w:val="005A6FC7"/>
    <w:rsid w:val="005A7AE3"/>
    <w:rsid w:val="005B2EC6"/>
    <w:rsid w:val="005B3681"/>
    <w:rsid w:val="005B6CC0"/>
    <w:rsid w:val="005B7F34"/>
    <w:rsid w:val="005C0C4B"/>
    <w:rsid w:val="005C17EE"/>
    <w:rsid w:val="005C3C2D"/>
    <w:rsid w:val="005C650C"/>
    <w:rsid w:val="005C691B"/>
    <w:rsid w:val="005D0A2C"/>
    <w:rsid w:val="005D2A3D"/>
    <w:rsid w:val="005D6468"/>
    <w:rsid w:val="005D6924"/>
    <w:rsid w:val="005D71FF"/>
    <w:rsid w:val="005E001E"/>
    <w:rsid w:val="005E0073"/>
    <w:rsid w:val="005E2726"/>
    <w:rsid w:val="005E3CE5"/>
    <w:rsid w:val="005E4FF9"/>
    <w:rsid w:val="005E527F"/>
    <w:rsid w:val="005E5777"/>
    <w:rsid w:val="005E7624"/>
    <w:rsid w:val="005F10EF"/>
    <w:rsid w:val="005F2589"/>
    <w:rsid w:val="005F4B5F"/>
    <w:rsid w:val="005F55B1"/>
    <w:rsid w:val="005F5625"/>
    <w:rsid w:val="005F7EC0"/>
    <w:rsid w:val="00600A86"/>
    <w:rsid w:val="00601C1F"/>
    <w:rsid w:val="0060373B"/>
    <w:rsid w:val="00603AEB"/>
    <w:rsid w:val="006043D3"/>
    <w:rsid w:val="0060457E"/>
    <w:rsid w:val="0060468D"/>
    <w:rsid w:val="00604CD1"/>
    <w:rsid w:val="00604EBC"/>
    <w:rsid w:val="00605C2C"/>
    <w:rsid w:val="00606863"/>
    <w:rsid w:val="00610D0B"/>
    <w:rsid w:val="0061207A"/>
    <w:rsid w:val="00612863"/>
    <w:rsid w:val="0061402F"/>
    <w:rsid w:val="0061407D"/>
    <w:rsid w:val="0061756B"/>
    <w:rsid w:val="0062350E"/>
    <w:rsid w:val="006252F7"/>
    <w:rsid w:val="0063122E"/>
    <w:rsid w:val="0063370C"/>
    <w:rsid w:val="00636347"/>
    <w:rsid w:val="006412DC"/>
    <w:rsid w:val="00642612"/>
    <w:rsid w:val="00643004"/>
    <w:rsid w:val="006446DC"/>
    <w:rsid w:val="00644C94"/>
    <w:rsid w:val="006457B0"/>
    <w:rsid w:val="00647088"/>
    <w:rsid w:val="0065034F"/>
    <w:rsid w:val="006531FA"/>
    <w:rsid w:val="00654430"/>
    <w:rsid w:val="00661567"/>
    <w:rsid w:val="006625EA"/>
    <w:rsid w:val="00663736"/>
    <w:rsid w:val="006641AA"/>
    <w:rsid w:val="00664610"/>
    <w:rsid w:val="00665BA9"/>
    <w:rsid w:val="00665D22"/>
    <w:rsid w:val="00666327"/>
    <w:rsid w:val="00667562"/>
    <w:rsid w:val="00667A99"/>
    <w:rsid w:val="0067048F"/>
    <w:rsid w:val="00670C07"/>
    <w:rsid w:val="006731AC"/>
    <w:rsid w:val="0067419B"/>
    <w:rsid w:val="00677116"/>
    <w:rsid w:val="0068030E"/>
    <w:rsid w:val="00681A0A"/>
    <w:rsid w:val="0068384E"/>
    <w:rsid w:val="006875EA"/>
    <w:rsid w:val="00687E7B"/>
    <w:rsid w:val="006900AD"/>
    <w:rsid w:val="00690A9F"/>
    <w:rsid w:val="0069297A"/>
    <w:rsid w:val="00692C68"/>
    <w:rsid w:val="00693414"/>
    <w:rsid w:val="00694B30"/>
    <w:rsid w:val="00695BE9"/>
    <w:rsid w:val="006A0D35"/>
    <w:rsid w:val="006A1234"/>
    <w:rsid w:val="006A1444"/>
    <w:rsid w:val="006A2F7B"/>
    <w:rsid w:val="006A5DFC"/>
    <w:rsid w:val="006A6FEB"/>
    <w:rsid w:val="006A73A6"/>
    <w:rsid w:val="006B095F"/>
    <w:rsid w:val="006B0E5C"/>
    <w:rsid w:val="006B17AE"/>
    <w:rsid w:val="006B1F04"/>
    <w:rsid w:val="006B2EA2"/>
    <w:rsid w:val="006B34C5"/>
    <w:rsid w:val="006B377A"/>
    <w:rsid w:val="006B4BE8"/>
    <w:rsid w:val="006B5132"/>
    <w:rsid w:val="006B6432"/>
    <w:rsid w:val="006B6CB4"/>
    <w:rsid w:val="006C05ED"/>
    <w:rsid w:val="006C61E3"/>
    <w:rsid w:val="006C666C"/>
    <w:rsid w:val="006C6941"/>
    <w:rsid w:val="006D1FE1"/>
    <w:rsid w:val="006D6895"/>
    <w:rsid w:val="006D7E70"/>
    <w:rsid w:val="006E1178"/>
    <w:rsid w:val="006E11F6"/>
    <w:rsid w:val="006E235A"/>
    <w:rsid w:val="006E5B2B"/>
    <w:rsid w:val="006E6A4D"/>
    <w:rsid w:val="006E7D66"/>
    <w:rsid w:val="006E7E48"/>
    <w:rsid w:val="006F14C6"/>
    <w:rsid w:val="006F15BC"/>
    <w:rsid w:val="006F6F42"/>
    <w:rsid w:val="006F700C"/>
    <w:rsid w:val="0070006B"/>
    <w:rsid w:val="00700ABA"/>
    <w:rsid w:val="00700DB5"/>
    <w:rsid w:val="007021AA"/>
    <w:rsid w:val="007049D0"/>
    <w:rsid w:val="00710EB5"/>
    <w:rsid w:val="00711D3B"/>
    <w:rsid w:val="00712223"/>
    <w:rsid w:val="0071253A"/>
    <w:rsid w:val="007128A8"/>
    <w:rsid w:val="00715E60"/>
    <w:rsid w:val="00716D06"/>
    <w:rsid w:val="00721195"/>
    <w:rsid w:val="00721F00"/>
    <w:rsid w:val="007223E1"/>
    <w:rsid w:val="007228FA"/>
    <w:rsid w:val="007243BA"/>
    <w:rsid w:val="007251CF"/>
    <w:rsid w:val="007265FB"/>
    <w:rsid w:val="00726843"/>
    <w:rsid w:val="007309B3"/>
    <w:rsid w:val="0073289B"/>
    <w:rsid w:val="00733D0D"/>
    <w:rsid w:val="007344A0"/>
    <w:rsid w:val="0073533D"/>
    <w:rsid w:val="0073598C"/>
    <w:rsid w:val="00735E94"/>
    <w:rsid w:val="007373CA"/>
    <w:rsid w:val="00740872"/>
    <w:rsid w:val="00740981"/>
    <w:rsid w:val="00740F85"/>
    <w:rsid w:val="007415B3"/>
    <w:rsid w:val="00750806"/>
    <w:rsid w:val="0075318A"/>
    <w:rsid w:val="00753782"/>
    <w:rsid w:val="00761248"/>
    <w:rsid w:val="00761F29"/>
    <w:rsid w:val="007668A1"/>
    <w:rsid w:val="00767AC1"/>
    <w:rsid w:val="007707C2"/>
    <w:rsid w:val="0077082C"/>
    <w:rsid w:val="00772B8E"/>
    <w:rsid w:val="00774BBF"/>
    <w:rsid w:val="00775D73"/>
    <w:rsid w:val="00784709"/>
    <w:rsid w:val="00784C0A"/>
    <w:rsid w:val="007869A4"/>
    <w:rsid w:val="0079031E"/>
    <w:rsid w:val="00790401"/>
    <w:rsid w:val="00790EAB"/>
    <w:rsid w:val="00793579"/>
    <w:rsid w:val="0079445D"/>
    <w:rsid w:val="00796478"/>
    <w:rsid w:val="007A000D"/>
    <w:rsid w:val="007A04CD"/>
    <w:rsid w:val="007A055A"/>
    <w:rsid w:val="007A326D"/>
    <w:rsid w:val="007A3CB3"/>
    <w:rsid w:val="007B54AF"/>
    <w:rsid w:val="007C23DB"/>
    <w:rsid w:val="007C39FE"/>
    <w:rsid w:val="007C3EAA"/>
    <w:rsid w:val="007C7AF0"/>
    <w:rsid w:val="007D04A1"/>
    <w:rsid w:val="007D0522"/>
    <w:rsid w:val="007D2F4F"/>
    <w:rsid w:val="007D36CB"/>
    <w:rsid w:val="007D3812"/>
    <w:rsid w:val="007D49E2"/>
    <w:rsid w:val="007D6E02"/>
    <w:rsid w:val="007D7474"/>
    <w:rsid w:val="007E05CB"/>
    <w:rsid w:val="007E2ABB"/>
    <w:rsid w:val="007E64A1"/>
    <w:rsid w:val="007F30C3"/>
    <w:rsid w:val="007F36A1"/>
    <w:rsid w:val="007F4640"/>
    <w:rsid w:val="007F5C5F"/>
    <w:rsid w:val="007F665E"/>
    <w:rsid w:val="007F66D1"/>
    <w:rsid w:val="007F72A0"/>
    <w:rsid w:val="007F7FD1"/>
    <w:rsid w:val="008022FC"/>
    <w:rsid w:val="008024FA"/>
    <w:rsid w:val="00802583"/>
    <w:rsid w:val="00803D2C"/>
    <w:rsid w:val="008069D9"/>
    <w:rsid w:val="00806FA9"/>
    <w:rsid w:val="008121D5"/>
    <w:rsid w:val="00814B09"/>
    <w:rsid w:val="008150F7"/>
    <w:rsid w:val="00820787"/>
    <w:rsid w:val="00820859"/>
    <w:rsid w:val="008208E6"/>
    <w:rsid w:val="00822F7D"/>
    <w:rsid w:val="008304EA"/>
    <w:rsid w:val="0083458A"/>
    <w:rsid w:val="008355E5"/>
    <w:rsid w:val="00835F11"/>
    <w:rsid w:val="00836EB5"/>
    <w:rsid w:val="0083724C"/>
    <w:rsid w:val="008378DF"/>
    <w:rsid w:val="00837D16"/>
    <w:rsid w:val="00842212"/>
    <w:rsid w:val="00842A1B"/>
    <w:rsid w:val="008445B6"/>
    <w:rsid w:val="0084705A"/>
    <w:rsid w:val="00850805"/>
    <w:rsid w:val="00853556"/>
    <w:rsid w:val="00855602"/>
    <w:rsid w:val="00856B08"/>
    <w:rsid w:val="00860160"/>
    <w:rsid w:val="008618A9"/>
    <w:rsid w:val="008626CB"/>
    <w:rsid w:val="008636AB"/>
    <w:rsid w:val="008716A9"/>
    <w:rsid w:val="00873397"/>
    <w:rsid w:val="00873CE2"/>
    <w:rsid w:val="008747F7"/>
    <w:rsid w:val="00874B30"/>
    <w:rsid w:val="008765FC"/>
    <w:rsid w:val="008773E1"/>
    <w:rsid w:val="00877BEE"/>
    <w:rsid w:val="00877F06"/>
    <w:rsid w:val="00881569"/>
    <w:rsid w:val="00882A4D"/>
    <w:rsid w:val="00883C9F"/>
    <w:rsid w:val="00886B5E"/>
    <w:rsid w:val="00887CCC"/>
    <w:rsid w:val="0089004C"/>
    <w:rsid w:val="0089163A"/>
    <w:rsid w:val="0089173D"/>
    <w:rsid w:val="0089429B"/>
    <w:rsid w:val="00895DD1"/>
    <w:rsid w:val="008A0E5B"/>
    <w:rsid w:val="008A4552"/>
    <w:rsid w:val="008A7157"/>
    <w:rsid w:val="008B10E2"/>
    <w:rsid w:val="008B40A4"/>
    <w:rsid w:val="008B682B"/>
    <w:rsid w:val="008B6DAC"/>
    <w:rsid w:val="008C12B8"/>
    <w:rsid w:val="008C2704"/>
    <w:rsid w:val="008C7541"/>
    <w:rsid w:val="008D17E3"/>
    <w:rsid w:val="008D1A7F"/>
    <w:rsid w:val="008D1CFF"/>
    <w:rsid w:val="008D2738"/>
    <w:rsid w:val="008D37B1"/>
    <w:rsid w:val="008D4CC6"/>
    <w:rsid w:val="008D5BB8"/>
    <w:rsid w:val="008D6A9E"/>
    <w:rsid w:val="008E0A05"/>
    <w:rsid w:val="008E1CFA"/>
    <w:rsid w:val="008E66FB"/>
    <w:rsid w:val="008E7BA8"/>
    <w:rsid w:val="008F030F"/>
    <w:rsid w:val="008F257E"/>
    <w:rsid w:val="008F39E0"/>
    <w:rsid w:val="008F4A85"/>
    <w:rsid w:val="008F59D9"/>
    <w:rsid w:val="00901AC6"/>
    <w:rsid w:val="009020E5"/>
    <w:rsid w:val="00902275"/>
    <w:rsid w:val="00902533"/>
    <w:rsid w:val="00904B9D"/>
    <w:rsid w:val="009051BD"/>
    <w:rsid w:val="009061AA"/>
    <w:rsid w:val="009062D8"/>
    <w:rsid w:val="00910BDE"/>
    <w:rsid w:val="00911820"/>
    <w:rsid w:val="00912541"/>
    <w:rsid w:val="009127DC"/>
    <w:rsid w:val="00912999"/>
    <w:rsid w:val="00914928"/>
    <w:rsid w:val="00923BB8"/>
    <w:rsid w:val="009241E8"/>
    <w:rsid w:val="00926142"/>
    <w:rsid w:val="00926450"/>
    <w:rsid w:val="00934D2B"/>
    <w:rsid w:val="00936B20"/>
    <w:rsid w:val="00936DC0"/>
    <w:rsid w:val="009371FC"/>
    <w:rsid w:val="009378EF"/>
    <w:rsid w:val="00940D1D"/>
    <w:rsid w:val="00940F6F"/>
    <w:rsid w:val="0094202B"/>
    <w:rsid w:val="009434CC"/>
    <w:rsid w:val="00943B65"/>
    <w:rsid w:val="00944BD7"/>
    <w:rsid w:val="00945580"/>
    <w:rsid w:val="00950827"/>
    <w:rsid w:val="009519FE"/>
    <w:rsid w:val="0095398C"/>
    <w:rsid w:val="00954FC9"/>
    <w:rsid w:val="00955F84"/>
    <w:rsid w:val="00961AC7"/>
    <w:rsid w:val="009620ED"/>
    <w:rsid w:val="00962ECD"/>
    <w:rsid w:val="009643E6"/>
    <w:rsid w:val="009651C1"/>
    <w:rsid w:val="009652F7"/>
    <w:rsid w:val="00965503"/>
    <w:rsid w:val="00967BE3"/>
    <w:rsid w:val="0097135F"/>
    <w:rsid w:val="00971DF8"/>
    <w:rsid w:val="009810F3"/>
    <w:rsid w:val="00983321"/>
    <w:rsid w:val="009850C6"/>
    <w:rsid w:val="00987512"/>
    <w:rsid w:val="00991DB7"/>
    <w:rsid w:val="009A1E00"/>
    <w:rsid w:val="009A4DC4"/>
    <w:rsid w:val="009B0628"/>
    <w:rsid w:val="009B0D11"/>
    <w:rsid w:val="009B3009"/>
    <w:rsid w:val="009B3A5A"/>
    <w:rsid w:val="009B5659"/>
    <w:rsid w:val="009B6A50"/>
    <w:rsid w:val="009B7087"/>
    <w:rsid w:val="009B74A9"/>
    <w:rsid w:val="009C0E61"/>
    <w:rsid w:val="009C1E94"/>
    <w:rsid w:val="009C1F6F"/>
    <w:rsid w:val="009C4870"/>
    <w:rsid w:val="009C53F4"/>
    <w:rsid w:val="009D0782"/>
    <w:rsid w:val="009D0EFE"/>
    <w:rsid w:val="009D1267"/>
    <w:rsid w:val="009D4479"/>
    <w:rsid w:val="009D4CDD"/>
    <w:rsid w:val="009D50F0"/>
    <w:rsid w:val="009D57FA"/>
    <w:rsid w:val="009D755B"/>
    <w:rsid w:val="009E3890"/>
    <w:rsid w:val="009E4479"/>
    <w:rsid w:val="009E710B"/>
    <w:rsid w:val="009E7864"/>
    <w:rsid w:val="009F182E"/>
    <w:rsid w:val="009F216C"/>
    <w:rsid w:val="009F2BBA"/>
    <w:rsid w:val="009F3095"/>
    <w:rsid w:val="009F38A3"/>
    <w:rsid w:val="009F4402"/>
    <w:rsid w:val="009F44AF"/>
    <w:rsid w:val="009F5AF9"/>
    <w:rsid w:val="009F750C"/>
    <w:rsid w:val="009F7DD3"/>
    <w:rsid w:val="00A00694"/>
    <w:rsid w:val="00A01A11"/>
    <w:rsid w:val="00A025D6"/>
    <w:rsid w:val="00A02CCB"/>
    <w:rsid w:val="00A046F1"/>
    <w:rsid w:val="00A0532A"/>
    <w:rsid w:val="00A067A1"/>
    <w:rsid w:val="00A068D0"/>
    <w:rsid w:val="00A06AAE"/>
    <w:rsid w:val="00A11E82"/>
    <w:rsid w:val="00A13AB5"/>
    <w:rsid w:val="00A15C0B"/>
    <w:rsid w:val="00A17720"/>
    <w:rsid w:val="00A21288"/>
    <w:rsid w:val="00A23187"/>
    <w:rsid w:val="00A2457C"/>
    <w:rsid w:val="00A30C2F"/>
    <w:rsid w:val="00A31626"/>
    <w:rsid w:val="00A33BD9"/>
    <w:rsid w:val="00A34B18"/>
    <w:rsid w:val="00A377C6"/>
    <w:rsid w:val="00A40059"/>
    <w:rsid w:val="00A41BAA"/>
    <w:rsid w:val="00A421B4"/>
    <w:rsid w:val="00A434AA"/>
    <w:rsid w:val="00A45630"/>
    <w:rsid w:val="00A468DF"/>
    <w:rsid w:val="00A5214A"/>
    <w:rsid w:val="00A52981"/>
    <w:rsid w:val="00A54CC0"/>
    <w:rsid w:val="00A55094"/>
    <w:rsid w:val="00A5546E"/>
    <w:rsid w:val="00A6069B"/>
    <w:rsid w:val="00A609BC"/>
    <w:rsid w:val="00A61C4E"/>
    <w:rsid w:val="00A6366E"/>
    <w:rsid w:val="00A66818"/>
    <w:rsid w:val="00A67592"/>
    <w:rsid w:val="00A71A46"/>
    <w:rsid w:val="00A77850"/>
    <w:rsid w:val="00A80653"/>
    <w:rsid w:val="00A83487"/>
    <w:rsid w:val="00A859E2"/>
    <w:rsid w:val="00A862A6"/>
    <w:rsid w:val="00A86C91"/>
    <w:rsid w:val="00A94966"/>
    <w:rsid w:val="00A94D35"/>
    <w:rsid w:val="00AA030C"/>
    <w:rsid w:val="00AA1E28"/>
    <w:rsid w:val="00AA26EC"/>
    <w:rsid w:val="00AA2CE1"/>
    <w:rsid w:val="00AA2E29"/>
    <w:rsid w:val="00AA3874"/>
    <w:rsid w:val="00AA4FA6"/>
    <w:rsid w:val="00AA5B79"/>
    <w:rsid w:val="00AA7452"/>
    <w:rsid w:val="00AB158C"/>
    <w:rsid w:val="00AB3541"/>
    <w:rsid w:val="00AB3DCF"/>
    <w:rsid w:val="00AB4419"/>
    <w:rsid w:val="00AB64ED"/>
    <w:rsid w:val="00AB65A4"/>
    <w:rsid w:val="00AC105D"/>
    <w:rsid w:val="00AC16F2"/>
    <w:rsid w:val="00AC2367"/>
    <w:rsid w:val="00AC27D4"/>
    <w:rsid w:val="00AC3539"/>
    <w:rsid w:val="00AC4E77"/>
    <w:rsid w:val="00AC6DEA"/>
    <w:rsid w:val="00AC71CE"/>
    <w:rsid w:val="00AC7851"/>
    <w:rsid w:val="00AD2026"/>
    <w:rsid w:val="00AD41CB"/>
    <w:rsid w:val="00AD4E22"/>
    <w:rsid w:val="00AE001B"/>
    <w:rsid w:val="00AE1199"/>
    <w:rsid w:val="00AE27A4"/>
    <w:rsid w:val="00AE64B8"/>
    <w:rsid w:val="00AF079D"/>
    <w:rsid w:val="00AF2629"/>
    <w:rsid w:val="00AF3483"/>
    <w:rsid w:val="00AF42B5"/>
    <w:rsid w:val="00AF5B72"/>
    <w:rsid w:val="00AF78BD"/>
    <w:rsid w:val="00B019C7"/>
    <w:rsid w:val="00B02A96"/>
    <w:rsid w:val="00B03F47"/>
    <w:rsid w:val="00B06EC2"/>
    <w:rsid w:val="00B10952"/>
    <w:rsid w:val="00B11D98"/>
    <w:rsid w:val="00B13959"/>
    <w:rsid w:val="00B153AB"/>
    <w:rsid w:val="00B17670"/>
    <w:rsid w:val="00B17B57"/>
    <w:rsid w:val="00B220DF"/>
    <w:rsid w:val="00B2245C"/>
    <w:rsid w:val="00B2401D"/>
    <w:rsid w:val="00B24952"/>
    <w:rsid w:val="00B260D7"/>
    <w:rsid w:val="00B2718A"/>
    <w:rsid w:val="00B31B9C"/>
    <w:rsid w:val="00B34309"/>
    <w:rsid w:val="00B40881"/>
    <w:rsid w:val="00B4143E"/>
    <w:rsid w:val="00B433F1"/>
    <w:rsid w:val="00B477E7"/>
    <w:rsid w:val="00B47AD3"/>
    <w:rsid w:val="00B53AA1"/>
    <w:rsid w:val="00B54A2E"/>
    <w:rsid w:val="00B55C73"/>
    <w:rsid w:val="00B55E11"/>
    <w:rsid w:val="00B63D2C"/>
    <w:rsid w:val="00B66FAE"/>
    <w:rsid w:val="00B73F70"/>
    <w:rsid w:val="00B74617"/>
    <w:rsid w:val="00B76430"/>
    <w:rsid w:val="00B775E6"/>
    <w:rsid w:val="00B845E7"/>
    <w:rsid w:val="00B84F02"/>
    <w:rsid w:val="00B85DA3"/>
    <w:rsid w:val="00B86DD6"/>
    <w:rsid w:val="00B874E8"/>
    <w:rsid w:val="00B91293"/>
    <w:rsid w:val="00B92CB9"/>
    <w:rsid w:val="00B93F81"/>
    <w:rsid w:val="00B95224"/>
    <w:rsid w:val="00B95657"/>
    <w:rsid w:val="00BA0DD7"/>
    <w:rsid w:val="00BA3747"/>
    <w:rsid w:val="00BA6A5F"/>
    <w:rsid w:val="00BB0A3B"/>
    <w:rsid w:val="00BB4173"/>
    <w:rsid w:val="00BC0110"/>
    <w:rsid w:val="00BC0503"/>
    <w:rsid w:val="00BC099D"/>
    <w:rsid w:val="00BC2F08"/>
    <w:rsid w:val="00BC5824"/>
    <w:rsid w:val="00BC635B"/>
    <w:rsid w:val="00BC7B62"/>
    <w:rsid w:val="00BD494B"/>
    <w:rsid w:val="00BD4D34"/>
    <w:rsid w:val="00BE01FF"/>
    <w:rsid w:val="00BE3676"/>
    <w:rsid w:val="00BE4901"/>
    <w:rsid w:val="00BE5454"/>
    <w:rsid w:val="00BE6F19"/>
    <w:rsid w:val="00BE7D2B"/>
    <w:rsid w:val="00BF25A1"/>
    <w:rsid w:val="00BF28B7"/>
    <w:rsid w:val="00BF3005"/>
    <w:rsid w:val="00BF356A"/>
    <w:rsid w:val="00BF3FA7"/>
    <w:rsid w:val="00BF4D5D"/>
    <w:rsid w:val="00BF685C"/>
    <w:rsid w:val="00C00CDC"/>
    <w:rsid w:val="00C026C0"/>
    <w:rsid w:val="00C04C54"/>
    <w:rsid w:val="00C07F15"/>
    <w:rsid w:val="00C1212B"/>
    <w:rsid w:val="00C1386C"/>
    <w:rsid w:val="00C226E8"/>
    <w:rsid w:val="00C2389E"/>
    <w:rsid w:val="00C25FD1"/>
    <w:rsid w:val="00C26751"/>
    <w:rsid w:val="00C309CB"/>
    <w:rsid w:val="00C324DB"/>
    <w:rsid w:val="00C35301"/>
    <w:rsid w:val="00C366A0"/>
    <w:rsid w:val="00C42E0B"/>
    <w:rsid w:val="00C50BBB"/>
    <w:rsid w:val="00C50CDC"/>
    <w:rsid w:val="00C52849"/>
    <w:rsid w:val="00C53675"/>
    <w:rsid w:val="00C62C2A"/>
    <w:rsid w:val="00C65579"/>
    <w:rsid w:val="00C6578F"/>
    <w:rsid w:val="00C6726B"/>
    <w:rsid w:val="00C67373"/>
    <w:rsid w:val="00C70293"/>
    <w:rsid w:val="00C720E7"/>
    <w:rsid w:val="00C74732"/>
    <w:rsid w:val="00C80D7E"/>
    <w:rsid w:val="00C81987"/>
    <w:rsid w:val="00C831A3"/>
    <w:rsid w:val="00C84216"/>
    <w:rsid w:val="00C844EE"/>
    <w:rsid w:val="00C84A6D"/>
    <w:rsid w:val="00C8640C"/>
    <w:rsid w:val="00C90AA6"/>
    <w:rsid w:val="00C90D27"/>
    <w:rsid w:val="00C944DF"/>
    <w:rsid w:val="00C951F9"/>
    <w:rsid w:val="00CA01E1"/>
    <w:rsid w:val="00CA0696"/>
    <w:rsid w:val="00CA13B4"/>
    <w:rsid w:val="00CA3354"/>
    <w:rsid w:val="00CA4327"/>
    <w:rsid w:val="00CA530A"/>
    <w:rsid w:val="00CB0EE0"/>
    <w:rsid w:val="00CB190A"/>
    <w:rsid w:val="00CB4BBF"/>
    <w:rsid w:val="00CB7EE5"/>
    <w:rsid w:val="00CC031C"/>
    <w:rsid w:val="00CC2C60"/>
    <w:rsid w:val="00CC3D12"/>
    <w:rsid w:val="00CC404A"/>
    <w:rsid w:val="00CC4FD9"/>
    <w:rsid w:val="00CC7387"/>
    <w:rsid w:val="00CD2A31"/>
    <w:rsid w:val="00CD3CB7"/>
    <w:rsid w:val="00CD51D7"/>
    <w:rsid w:val="00CD72CE"/>
    <w:rsid w:val="00CD7BC8"/>
    <w:rsid w:val="00CE14C7"/>
    <w:rsid w:val="00CE1841"/>
    <w:rsid w:val="00CE2A7F"/>
    <w:rsid w:val="00CE3BC0"/>
    <w:rsid w:val="00CE48F1"/>
    <w:rsid w:val="00CE4B0B"/>
    <w:rsid w:val="00CE789B"/>
    <w:rsid w:val="00CF7F35"/>
    <w:rsid w:val="00CF7F3A"/>
    <w:rsid w:val="00D03494"/>
    <w:rsid w:val="00D0462F"/>
    <w:rsid w:val="00D0654C"/>
    <w:rsid w:val="00D10208"/>
    <w:rsid w:val="00D12208"/>
    <w:rsid w:val="00D12E86"/>
    <w:rsid w:val="00D144F2"/>
    <w:rsid w:val="00D14EDB"/>
    <w:rsid w:val="00D17B4D"/>
    <w:rsid w:val="00D24E1C"/>
    <w:rsid w:val="00D2721F"/>
    <w:rsid w:val="00D30197"/>
    <w:rsid w:val="00D31E19"/>
    <w:rsid w:val="00D324BA"/>
    <w:rsid w:val="00D328D0"/>
    <w:rsid w:val="00D33B32"/>
    <w:rsid w:val="00D34952"/>
    <w:rsid w:val="00D35D18"/>
    <w:rsid w:val="00D36DA5"/>
    <w:rsid w:val="00D37AF6"/>
    <w:rsid w:val="00D37D49"/>
    <w:rsid w:val="00D40760"/>
    <w:rsid w:val="00D408FE"/>
    <w:rsid w:val="00D43928"/>
    <w:rsid w:val="00D45FF8"/>
    <w:rsid w:val="00D46027"/>
    <w:rsid w:val="00D46514"/>
    <w:rsid w:val="00D50816"/>
    <w:rsid w:val="00D52694"/>
    <w:rsid w:val="00D53AC4"/>
    <w:rsid w:val="00D5410A"/>
    <w:rsid w:val="00D5612B"/>
    <w:rsid w:val="00D5796A"/>
    <w:rsid w:val="00D61930"/>
    <w:rsid w:val="00D61D90"/>
    <w:rsid w:val="00D631E4"/>
    <w:rsid w:val="00D64259"/>
    <w:rsid w:val="00D64A58"/>
    <w:rsid w:val="00D658D8"/>
    <w:rsid w:val="00D65D7C"/>
    <w:rsid w:val="00D676AF"/>
    <w:rsid w:val="00D70832"/>
    <w:rsid w:val="00D720D3"/>
    <w:rsid w:val="00D75477"/>
    <w:rsid w:val="00D761A4"/>
    <w:rsid w:val="00D91CBC"/>
    <w:rsid w:val="00D93FD3"/>
    <w:rsid w:val="00D9563A"/>
    <w:rsid w:val="00D9707F"/>
    <w:rsid w:val="00D97233"/>
    <w:rsid w:val="00D9758E"/>
    <w:rsid w:val="00DA0425"/>
    <w:rsid w:val="00DA056C"/>
    <w:rsid w:val="00DA2F4B"/>
    <w:rsid w:val="00DA355A"/>
    <w:rsid w:val="00DA657B"/>
    <w:rsid w:val="00DA7AD1"/>
    <w:rsid w:val="00DB4267"/>
    <w:rsid w:val="00DB4537"/>
    <w:rsid w:val="00DB4E6F"/>
    <w:rsid w:val="00DB4F13"/>
    <w:rsid w:val="00DB56D8"/>
    <w:rsid w:val="00DB5D49"/>
    <w:rsid w:val="00DB6C01"/>
    <w:rsid w:val="00DB7100"/>
    <w:rsid w:val="00DC1447"/>
    <w:rsid w:val="00DC1A3B"/>
    <w:rsid w:val="00DC1BBE"/>
    <w:rsid w:val="00DC30F9"/>
    <w:rsid w:val="00DC4A04"/>
    <w:rsid w:val="00DD2607"/>
    <w:rsid w:val="00DD2E74"/>
    <w:rsid w:val="00DD5AB4"/>
    <w:rsid w:val="00DD6CCC"/>
    <w:rsid w:val="00DE1BA1"/>
    <w:rsid w:val="00DE1BAD"/>
    <w:rsid w:val="00DE6EFE"/>
    <w:rsid w:val="00DE7337"/>
    <w:rsid w:val="00DF0843"/>
    <w:rsid w:val="00DF0FE1"/>
    <w:rsid w:val="00DF2206"/>
    <w:rsid w:val="00E00FEB"/>
    <w:rsid w:val="00E01825"/>
    <w:rsid w:val="00E02186"/>
    <w:rsid w:val="00E02A28"/>
    <w:rsid w:val="00E02AEC"/>
    <w:rsid w:val="00E03A95"/>
    <w:rsid w:val="00E044FE"/>
    <w:rsid w:val="00E05711"/>
    <w:rsid w:val="00E0612F"/>
    <w:rsid w:val="00E06A52"/>
    <w:rsid w:val="00E07AA8"/>
    <w:rsid w:val="00E11B36"/>
    <w:rsid w:val="00E13D16"/>
    <w:rsid w:val="00E14C33"/>
    <w:rsid w:val="00E157CF"/>
    <w:rsid w:val="00E2082A"/>
    <w:rsid w:val="00E250A3"/>
    <w:rsid w:val="00E252A4"/>
    <w:rsid w:val="00E25EFA"/>
    <w:rsid w:val="00E27438"/>
    <w:rsid w:val="00E27E63"/>
    <w:rsid w:val="00E30E2D"/>
    <w:rsid w:val="00E35B96"/>
    <w:rsid w:val="00E36E5E"/>
    <w:rsid w:val="00E46071"/>
    <w:rsid w:val="00E46DE2"/>
    <w:rsid w:val="00E5388C"/>
    <w:rsid w:val="00E61949"/>
    <w:rsid w:val="00E63C1C"/>
    <w:rsid w:val="00E63EF5"/>
    <w:rsid w:val="00E66E9A"/>
    <w:rsid w:val="00E73964"/>
    <w:rsid w:val="00E74034"/>
    <w:rsid w:val="00E82BEE"/>
    <w:rsid w:val="00E82C44"/>
    <w:rsid w:val="00E84730"/>
    <w:rsid w:val="00E92632"/>
    <w:rsid w:val="00E95ADB"/>
    <w:rsid w:val="00E95CB1"/>
    <w:rsid w:val="00EA25B1"/>
    <w:rsid w:val="00EB1712"/>
    <w:rsid w:val="00EB6186"/>
    <w:rsid w:val="00EB68E6"/>
    <w:rsid w:val="00EB7CC8"/>
    <w:rsid w:val="00EB7CF6"/>
    <w:rsid w:val="00EC3CF0"/>
    <w:rsid w:val="00EC43AC"/>
    <w:rsid w:val="00EC5167"/>
    <w:rsid w:val="00EC5953"/>
    <w:rsid w:val="00EC5F0C"/>
    <w:rsid w:val="00EC7060"/>
    <w:rsid w:val="00ED0B17"/>
    <w:rsid w:val="00ED2872"/>
    <w:rsid w:val="00ED550C"/>
    <w:rsid w:val="00ED5BC7"/>
    <w:rsid w:val="00ED6E1A"/>
    <w:rsid w:val="00ED75AB"/>
    <w:rsid w:val="00ED7E7B"/>
    <w:rsid w:val="00EE303D"/>
    <w:rsid w:val="00EE4089"/>
    <w:rsid w:val="00EE4C0E"/>
    <w:rsid w:val="00EE5F42"/>
    <w:rsid w:val="00EF14A9"/>
    <w:rsid w:val="00EF183D"/>
    <w:rsid w:val="00EF2496"/>
    <w:rsid w:val="00EF4496"/>
    <w:rsid w:val="00EF44C2"/>
    <w:rsid w:val="00F002BC"/>
    <w:rsid w:val="00F00C35"/>
    <w:rsid w:val="00F011A0"/>
    <w:rsid w:val="00F02EB5"/>
    <w:rsid w:val="00F05285"/>
    <w:rsid w:val="00F11136"/>
    <w:rsid w:val="00F12820"/>
    <w:rsid w:val="00F149E2"/>
    <w:rsid w:val="00F149E9"/>
    <w:rsid w:val="00F1522C"/>
    <w:rsid w:val="00F16E21"/>
    <w:rsid w:val="00F16E5A"/>
    <w:rsid w:val="00F16FA7"/>
    <w:rsid w:val="00F17BFA"/>
    <w:rsid w:val="00F221B0"/>
    <w:rsid w:val="00F248E2"/>
    <w:rsid w:val="00F26944"/>
    <w:rsid w:val="00F26A21"/>
    <w:rsid w:val="00F26EBB"/>
    <w:rsid w:val="00F27910"/>
    <w:rsid w:val="00F3033B"/>
    <w:rsid w:val="00F30B88"/>
    <w:rsid w:val="00F3339C"/>
    <w:rsid w:val="00F33D93"/>
    <w:rsid w:val="00F4094A"/>
    <w:rsid w:val="00F418F9"/>
    <w:rsid w:val="00F41DE5"/>
    <w:rsid w:val="00F44D48"/>
    <w:rsid w:val="00F45A9E"/>
    <w:rsid w:val="00F4661D"/>
    <w:rsid w:val="00F477A6"/>
    <w:rsid w:val="00F511F6"/>
    <w:rsid w:val="00F53DA3"/>
    <w:rsid w:val="00F56BE6"/>
    <w:rsid w:val="00F62BD4"/>
    <w:rsid w:val="00F6476A"/>
    <w:rsid w:val="00F74644"/>
    <w:rsid w:val="00F9008F"/>
    <w:rsid w:val="00F935CF"/>
    <w:rsid w:val="00F9459A"/>
    <w:rsid w:val="00F9655A"/>
    <w:rsid w:val="00FA13A8"/>
    <w:rsid w:val="00FA1A34"/>
    <w:rsid w:val="00FA7274"/>
    <w:rsid w:val="00FA791F"/>
    <w:rsid w:val="00FB24A1"/>
    <w:rsid w:val="00FB34E3"/>
    <w:rsid w:val="00FC0975"/>
    <w:rsid w:val="00FC2140"/>
    <w:rsid w:val="00FC2A9F"/>
    <w:rsid w:val="00FC548A"/>
    <w:rsid w:val="00FC5E87"/>
    <w:rsid w:val="00FC6E2D"/>
    <w:rsid w:val="00FD09D1"/>
    <w:rsid w:val="00FD0E49"/>
    <w:rsid w:val="00FD1382"/>
    <w:rsid w:val="00FD1A72"/>
    <w:rsid w:val="00FD400C"/>
    <w:rsid w:val="00FD40EE"/>
    <w:rsid w:val="00FE49B5"/>
    <w:rsid w:val="00FE58ED"/>
    <w:rsid w:val="00FE61C2"/>
    <w:rsid w:val="00FE7003"/>
    <w:rsid w:val="00FF0B4B"/>
    <w:rsid w:val="00FF0FB1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10595"/>
  <w15:docId w15:val="{20369194-C3EE-4865-86FA-FA98C4EC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F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60"/>
  </w:style>
  <w:style w:type="paragraph" w:styleId="Stopka">
    <w:name w:val="footer"/>
    <w:basedOn w:val="Normalny"/>
    <w:link w:val="Stopka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60"/>
  </w:style>
  <w:style w:type="paragraph" w:styleId="Tekstdymka">
    <w:name w:val="Balloon Text"/>
    <w:basedOn w:val="Normalny"/>
    <w:link w:val="TekstdymkaZnak"/>
    <w:uiPriority w:val="99"/>
    <w:semiHidden/>
    <w:unhideWhenUsed/>
    <w:rsid w:val="005D2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A3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43D7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177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177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177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7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7720"/>
    <w:rPr>
      <w:b/>
      <w:bCs/>
      <w:sz w:val="20"/>
      <w:szCs w:val="20"/>
    </w:rPr>
  </w:style>
  <w:style w:type="paragraph" w:styleId="Akapitzlist">
    <w:name w:val="List Paragraph"/>
    <w:aliases w:val="Styl moj,Akapit z listą11,podpunkt ankietyy,Table Legend,Bullet1,List Paragraph1,List Paragraph"/>
    <w:basedOn w:val="Normalny"/>
    <w:link w:val="AkapitzlistZnak"/>
    <w:uiPriority w:val="34"/>
    <w:qFormat/>
    <w:rsid w:val="001A18DE"/>
    <w:pPr>
      <w:ind w:left="720"/>
      <w:contextualSpacing/>
    </w:pPr>
  </w:style>
  <w:style w:type="paragraph" w:customStyle="1" w:styleId="Default">
    <w:name w:val="Default"/>
    <w:rsid w:val="00961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C8640C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8640C"/>
    <w:pPr>
      <w:widowControl w:val="0"/>
      <w:shd w:val="clear" w:color="auto" w:fill="FFFFFF"/>
      <w:spacing w:after="60" w:line="248" w:lineRule="exact"/>
      <w:ind w:hanging="480"/>
    </w:pPr>
    <w:rPr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CA0696"/>
    <w:pPr>
      <w:widowControl w:val="0"/>
      <w:autoSpaceDE w:val="0"/>
      <w:autoSpaceDN w:val="0"/>
      <w:spacing w:after="0" w:line="240" w:lineRule="auto"/>
      <w:ind w:left="467"/>
    </w:pPr>
    <w:rPr>
      <w:rFonts w:ascii="Times New Roman" w:eastAsia="Times New Roman" w:hAnsi="Times New Roman" w:cs="Times New Roman"/>
      <w:lang w:val="en-US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List Paragraph Znak"/>
    <w:link w:val="Akapitzlist"/>
    <w:uiPriority w:val="34"/>
    <w:locked/>
    <w:rsid w:val="002E4F9E"/>
  </w:style>
  <w:style w:type="character" w:customStyle="1" w:styleId="TeksttreciPogrubienie">
    <w:name w:val="Tekst treści + Pogrubienie"/>
    <w:basedOn w:val="Teksttreci"/>
    <w:rsid w:val="007A00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identifier">
    <w:name w:val="identifier"/>
    <w:basedOn w:val="Domylnaczcionkaakapitu"/>
    <w:qFormat/>
    <w:rsid w:val="00CC4FD9"/>
  </w:style>
  <w:style w:type="paragraph" w:styleId="NormalnyWeb">
    <w:name w:val="Normal (Web)"/>
    <w:basedOn w:val="Normalny"/>
    <w:uiPriority w:val="99"/>
    <w:unhideWhenUsed/>
    <w:rsid w:val="00CC4FD9"/>
    <w:pPr>
      <w:spacing w:after="0" w:line="240" w:lineRule="auto"/>
    </w:pPr>
    <w:rPr>
      <w:rFonts w:ascii="Calibri" w:hAnsi="Calibri" w:cs="Calibri"/>
      <w:lang w:eastAsia="pl-PL"/>
    </w:rPr>
  </w:style>
  <w:style w:type="paragraph" w:styleId="Tekstpodstawowywcity">
    <w:name w:val="Body Text Indent"/>
    <w:basedOn w:val="Normalny"/>
    <w:link w:val="TekstpodstawowywcityZnak"/>
    <w:rsid w:val="000F2B9B"/>
    <w:pPr>
      <w:spacing w:after="0" w:line="240" w:lineRule="auto"/>
      <w:ind w:firstLine="42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F2B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2638D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2638D"/>
    <w:rPr>
      <w:rFonts w:ascii="Calibri" w:hAnsi="Calibri"/>
      <w:szCs w:val="21"/>
    </w:rPr>
  </w:style>
  <w:style w:type="character" w:customStyle="1" w:styleId="cf01">
    <w:name w:val="cf01"/>
    <w:basedOn w:val="Domylnaczcionkaakapitu"/>
    <w:rsid w:val="002B3AD8"/>
    <w:rPr>
      <w:rFonts w:ascii="Segoe UI" w:hAnsi="Segoe UI" w:cs="Segoe UI" w:hint="default"/>
      <w:sz w:val="18"/>
      <w:szCs w:val="18"/>
      <w:shd w:val="clear" w:color="auto" w:fill="00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938A1-19F3-4A45-8812-B73B7A00D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2231</Words>
  <Characters>13387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Buras Magda</dc:creator>
  <cp:keywords/>
  <dc:description/>
  <cp:lastModifiedBy>Wilk Justyna</cp:lastModifiedBy>
  <cp:revision>4</cp:revision>
  <cp:lastPrinted>2023-02-05T13:50:00Z</cp:lastPrinted>
  <dcterms:created xsi:type="dcterms:W3CDTF">2024-02-27T08:39:00Z</dcterms:created>
  <dcterms:modified xsi:type="dcterms:W3CDTF">2024-02-27T09:30:00Z</dcterms:modified>
</cp:coreProperties>
</file>